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、设备价值3000元以上的医疗设备，付款方式为：供应商提供正规销售发票，验收合格后支付合同金额90%</w:t>
      </w:r>
      <w:r>
        <w:rPr>
          <w:rFonts w:hint="eastAsia"/>
          <w:sz w:val="28"/>
          <w:szCs w:val="28"/>
          <w:lang w:eastAsia="zh-CN"/>
        </w:rPr>
        <w:t>，</w:t>
      </w:r>
      <w:r>
        <w:rPr>
          <w:rFonts w:hint="eastAsia"/>
          <w:sz w:val="28"/>
          <w:szCs w:val="28"/>
        </w:rPr>
        <w:t>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widowControl/>
              <w:spacing w:line="405" w:lineRule="atLeast"/>
              <w:jc w:val="center"/>
              <w:rPr>
                <w:sz w:val="28"/>
                <w:szCs w:val="28"/>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治疗车</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vAlign w:val="top"/>
          </w:tcPr>
          <w:p>
            <w:pPr>
              <w:widowControl/>
              <w:spacing w:line="405" w:lineRule="atLeast"/>
              <w:jc w:val="center"/>
              <w:rPr>
                <w:rFonts w:hint="eastAsia" w:cs="宋体" w:asciiTheme="minorEastAsia" w:hAnsiTheme="minorEastAsia"/>
                <w:color w:val="333333"/>
                <w:kern w:val="0"/>
                <w:szCs w:val="21"/>
              </w:rPr>
            </w:pP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发药车</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2000元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left"/>
        <w:rPr>
          <w:rFonts w:hint="eastAsia"/>
          <w:b/>
          <w:sz w:val="28"/>
          <w:szCs w:val="28"/>
        </w:rPr>
      </w:pPr>
      <w:bookmarkStart w:id="0" w:name="_GoBack"/>
      <w:bookmarkEnd w:id="0"/>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jc w:val="left"/>
        <w:rPr>
          <w:rFonts w:hint="default"/>
          <w:b/>
          <w:bCs w:val="0"/>
          <w:sz w:val="28"/>
          <w:szCs w:val="28"/>
          <w:lang w:val="en-US" w:eastAsia="zh-CN"/>
        </w:rPr>
      </w:pPr>
      <w:r>
        <w:rPr>
          <w:rFonts w:hint="eastAsia"/>
          <w:b/>
          <w:bCs w:val="0"/>
          <w:sz w:val="28"/>
          <w:szCs w:val="28"/>
          <w:lang w:val="en-US" w:eastAsia="zh-CN"/>
        </w:rPr>
        <w:t>包一：</w:t>
      </w:r>
      <w:r>
        <w:rPr>
          <w:rFonts w:hint="eastAsia"/>
          <w:b w:val="0"/>
          <w:bCs/>
          <w:color w:val="C00000"/>
          <w:sz w:val="18"/>
          <w:szCs w:val="18"/>
          <w:lang w:val="en-US" w:eastAsia="zh-CN"/>
        </w:rPr>
        <w:t>（因不属于医疗设备且价值较低，不强制要求提供授权文件）</w:t>
      </w:r>
    </w:p>
    <w:p>
      <w:pPr>
        <w:jc w:val="left"/>
        <w:rPr>
          <w:rFonts w:hint="eastAsia"/>
          <w:b/>
          <w:bCs w:val="0"/>
          <w:sz w:val="28"/>
          <w:szCs w:val="28"/>
          <w:lang w:val="en-US" w:eastAsia="zh-CN"/>
        </w:rPr>
      </w:pPr>
      <w:r>
        <w:rPr>
          <w:rFonts w:hint="eastAsia"/>
          <w:b/>
          <w:bCs w:val="0"/>
          <w:sz w:val="28"/>
          <w:szCs w:val="28"/>
          <w:lang w:val="en-US" w:eastAsia="zh-CN"/>
        </w:rPr>
        <w:t>1、治疗车参数</w:t>
      </w:r>
    </w:p>
    <w:p>
      <w:pPr>
        <w:jc w:val="left"/>
        <w:rPr>
          <w:rFonts w:hint="eastAsia"/>
          <w:b w:val="0"/>
          <w:bCs/>
          <w:sz w:val="28"/>
          <w:szCs w:val="28"/>
          <w:lang w:val="en-US" w:eastAsia="zh-CN"/>
        </w:rPr>
      </w:pPr>
      <w:r>
        <w:rPr>
          <w:rFonts w:hint="eastAsia"/>
          <w:b w:val="0"/>
          <w:bCs/>
          <w:sz w:val="28"/>
          <w:szCs w:val="28"/>
          <w:lang w:val="en-US" w:eastAsia="zh-CN"/>
        </w:rPr>
        <w:t>1.主体材质采用ABS工程塑料结构组成；塑钢四柱承重；</w:t>
      </w:r>
    </w:p>
    <w:p>
      <w:pPr>
        <w:jc w:val="left"/>
        <w:rPr>
          <w:rFonts w:hint="eastAsia"/>
          <w:b w:val="0"/>
          <w:bCs/>
          <w:sz w:val="28"/>
          <w:szCs w:val="28"/>
          <w:lang w:val="en-US" w:eastAsia="zh-CN"/>
        </w:rPr>
      </w:pPr>
      <w:r>
        <w:rPr>
          <w:rFonts w:hint="eastAsia"/>
          <w:b w:val="0"/>
          <w:bCs/>
          <w:sz w:val="28"/>
          <w:szCs w:val="28"/>
          <w:lang w:val="en-US" w:eastAsia="zh-CN"/>
        </w:rPr>
        <w:t xml:space="preserve">2.上部：不锈钢304材质三面围栏，凹陷设计可防止物品滑落,台面配有透明软玻璃； </w:t>
      </w:r>
    </w:p>
    <w:p>
      <w:pPr>
        <w:jc w:val="left"/>
        <w:rPr>
          <w:rFonts w:hint="eastAsia"/>
          <w:b w:val="0"/>
          <w:bCs/>
          <w:sz w:val="28"/>
          <w:szCs w:val="28"/>
          <w:lang w:val="en-US" w:eastAsia="zh-CN"/>
        </w:rPr>
      </w:pPr>
      <w:r>
        <w:rPr>
          <w:rFonts w:hint="eastAsia"/>
          <w:b w:val="0"/>
          <w:bCs/>
          <w:sz w:val="28"/>
          <w:szCs w:val="28"/>
          <w:lang w:val="en-US" w:eastAsia="zh-CN"/>
        </w:rPr>
        <w:t xml:space="preserve">3.车身配有2中抽面120mm内空：约430x335*110mm＊三折静音导轨，抽屉内部3*3分隔片，可自由分隔；抽屉拉手为燕尾式； </w:t>
      </w:r>
    </w:p>
    <w:p>
      <w:pPr>
        <w:jc w:val="left"/>
        <w:rPr>
          <w:rFonts w:hint="eastAsia"/>
          <w:b w:val="0"/>
          <w:bCs/>
          <w:sz w:val="28"/>
          <w:szCs w:val="28"/>
          <w:lang w:val="en-US" w:eastAsia="zh-CN"/>
        </w:rPr>
      </w:pPr>
      <w:r>
        <w:rPr>
          <w:rFonts w:hint="eastAsia"/>
          <w:b w:val="0"/>
          <w:bCs/>
          <w:sz w:val="28"/>
          <w:szCs w:val="28"/>
          <w:lang w:val="en-US" w:eastAsia="zh-CN"/>
        </w:rPr>
        <w:t>4.底部：双层搁板设计；</w:t>
      </w:r>
    </w:p>
    <w:p>
      <w:pPr>
        <w:jc w:val="left"/>
        <w:rPr>
          <w:rFonts w:hint="eastAsia"/>
          <w:b w:val="0"/>
          <w:bCs/>
          <w:sz w:val="28"/>
          <w:szCs w:val="28"/>
          <w:lang w:val="en-US" w:eastAsia="zh-CN"/>
        </w:rPr>
      </w:pPr>
      <w:r>
        <w:rPr>
          <w:rFonts w:hint="eastAsia"/>
          <w:b w:val="0"/>
          <w:bCs/>
          <w:sz w:val="28"/>
          <w:szCs w:val="28"/>
          <w:lang w:val="en-US" w:eastAsia="zh-CN"/>
        </w:rPr>
        <w:t>5、侧面：配有置物框和污物桶；</w:t>
      </w:r>
    </w:p>
    <w:p>
      <w:pPr>
        <w:jc w:val="left"/>
        <w:rPr>
          <w:rFonts w:hint="eastAsia"/>
          <w:b w:val="0"/>
          <w:bCs/>
          <w:sz w:val="28"/>
          <w:szCs w:val="28"/>
          <w:lang w:val="en-US" w:eastAsia="zh-CN"/>
        </w:rPr>
      </w:pPr>
      <w:r>
        <w:rPr>
          <w:rFonts w:hint="eastAsia"/>
          <w:b w:val="0"/>
          <w:bCs/>
          <w:sz w:val="28"/>
          <w:szCs w:val="28"/>
          <w:lang w:val="en-US" w:eastAsia="zh-CN"/>
        </w:rPr>
        <w:t>6、万向插入式静音轮，其中两只带刹车功能，脚轮材料为高强度聚氨酯。防静电、防毛发缠绕、移动轻便灵活。</w:t>
      </w:r>
    </w:p>
    <w:p>
      <w:pPr>
        <w:jc w:val="left"/>
        <w:rPr>
          <w:rFonts w:hint="eastAsia"/>
          <w:b w:val="0"/>
          <w:bCs/>
          <w:sz w:val="28"/>
          <w:szCs w:val="28"/>
          <w:lang w:val="en-US" w:eastAsia="zh-CN"/>
        </w:rPr>
      </w:pPr>
      <w:r>
        <w:rPr>
          <w:rFonts w:hint="eastAsia"/>
          <w:b w:val="0"/>
          <w:bCs/>
          <w:sz w:val="28"/>
          <w:szCs w:val="28"/>
          <w:lang w:val="en-US" w:eastAsia="zh-CN"/>
        </w:rPr>
        <w:t>7、样式如图</w:t>
      </w:r>
    </w:p>
    <w:p>
      <w:pPr>
        <w:rPr>
          <w:rFonts w:hint="default"/>
          <w:lang w:val="en-US" w:eastAsia="zh-CN"/>
        </w:rPr>
      </w:pPr>
      <w:r>
        <w:rPr>
          <w:rFonts w:hint="default"/>
          <w:lang w:val="en-US" w:eastAsia="zh-CN"/>
        </w:rPr>
        <w:drawing>
          <wp:inline distT="0" distB="0" distL="114300" distR="114300">
            <wp:extent cx="2157730" cy="2447925"/>
            <wp:effectExtent l="0" t="0" r="13970" b="9525"/>
            <wp:docPr id="1" name="图片 3" descr="5b976a8cceda3e2d62ca93fe4dc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5b976a8cceda3e2d62ca93fe4dc3341"/>
                    <pic:cNvPicPr>
                      <a:picLocks noChangeAspect="1"/>
                    </pic:cNvPicPr>
                  </pic:nvPicPr>
                  <pic:blipFill>
                    <a:blip r:embed="rId5"/>
                    <a:stretch>
                      <a:fillRect/>
                    </a:stretch>
                  </pic:blipFill>
                  <pic:spPr>
                    <a:xfrm>
                      <a:off x="0" y="0"/>
                      <a:ext cx="2157730" cy="2447925"/>
                    </a:xfrm>
                    <a:prstGeom prst="rect">
                      <a:avLst/>
                    </a:prstGeom>
                    <a:noFill/>
                    <a:ln>
                      <a:noFill/>
                    </a:ln>
                  </pic:spPr>
                </pic:pic>
              </a:graphicData>
            </a:graphic>
          </wp:inline>
        </w:drawing>
      </w:r>
      <w:r>
        <w:rPr>
          <w:rFonts w:hint="default"/>
          <w:lang w:val="en-US" w:eastAsia="zh-CN"/>
        </w:rPr>
        <w:drawing>
          <wp:inline distT="0" distB="0" distL="114300" distR="114300">
            <wp:extent cx="2663190" cy="2458720"/>
            <wp:effectExtent l="0" t="0" r="3810" b="17780"/>
            <wp:docPr id="2" name="图片 4" descr="2009fb4e166767d9f3bb1b79b3ec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2009fb4e166767d9f3bb1b79b3ec1df"/>
                    <pic:cNvPicPr>
                      <a:picLocks noChangeAspect="1"/>
                    </pic:cNvPicPr>
                  </pic:nvPicPr>
                  <pic:blipFill>
                    <a:blip r:embed="rId6"/>
                    <a:stretch>
                      <a:fillRect/>
                    </a:stretch>
                  </pic:blipFill>
                  <pic:spPr>
                    <a:xfrm>
                      <a:off x="0" y="0"/>
                      <a:ext cx="2663190" cy="2458720"/>
                    </a:xfrm>
                    <a:prstGeom prst="rect">
                      <a:avLst/>
                    </a:prstGeom>
                    <a:noFill/>
                    <a:ln>
                      <a:noFill/>
                    </a:ln>
                  </pic:spPr>
                </pic:pic>
              </a:graphicData>
            </a:graphic>
          </wp:inline>
        </w:drawing>
      </w:r>
    </w:p>
    <w:p>
      <w:pPr>
        <w:jc w:val="left"/>
        <w:rPr>
          <w:rFonts w:hint="default"/>
          <w:b/>
          <w:bCs w:val="0"/>
          <w:sz w:val="28"/>
          <w:szCs w:val="28"/>
          <w:lang w:val="en-US" w:eastAsia="zh-CN"/>
        </w:rPr>
      </w:pPr>
      <w:r>
        <w:rPr>
          <w:rFonts w:hint="eastAsia"/>
          <w:b/>
          <w:bCs w:val="0"/>
          <w:sz w:val="28"/>
          <w:szCs w:val="28"/>
          <w:lang w:val="en-US" w:eastAsia="zh-CN"/>
        </w:rPr>
        <w:t>2、服药车参数</w:t>
      </w:r>
    </w:p>
    <w:p>
      <w:pPr>
        <w:jc w:val="left"/>
        <w:rPr>
          <w:rFonts w:hint="eastAsia"/>
          <w:b w:val="0"/>
          <w:bCs/>
          <w:sz w:val="28"/>
          <w:szCs w:val="28"/>
          <w:lang w:val="en-US" w:eastAsia="zh-CN"/>
        </w:rPr>
      </w:pPr>
      <w:r>
        <w:rPr>
          <w:rFonts w:hint="eastAsia"/>
          <w:b w:val="0"/>
          <w:bCs/>
          <w:sz w:val="28"/>
          <w:szCs w:val="28"/>
          <w:lang w:val="en-US" w:eastAsia="zh-CN"/>
        </w:rPr>
        <w:t>1.主要由ABS工程塑料结构组成；塑钢四柱承重；</w:t>
      </w:r>
    </w:p>
    <w:p>
      <w:pPr>
        <w:jc w:val="left"/>
        <w:rPr>
          <w:rFonts w:hint="eastAsia"/>
          <w:b w:val="0"/>
          <w:bCs/>
          <w:sz w:val="28"/>
          <w:szCs w:val="28"/>
          <w:lang w:val="en-US" w:eastAsia="zh-CN"/>
        </w:rPr>
      </w:pPr>
      <w:r>
        <w:rPr>
          <w:rFonts w:hint="eastAsia"/>
          <w:b w:val="0"/>
          <w:bCs/>
          <w:sz w:val="28"/>
          <w:szCs w:val="28"/>
          <w:lang w:val="en-US" w:eastAsia="zh-CN"/>
        </w:rPr>
        <w:t>3.车体左侧：杂物盒；</w:t>
      </w:r>
    </w:p>
    <w:p>
      <w:pPr>
        <w:jc w:val="left"/>
        <w:rPr>
          <w:rFonts w:hint="eastAsia"/>
          <w:b w:val="0"/>
          <w:bCs/>
          <w:sz w:val="28"/>
          <w:szCs w:val="28"/>
          <w:lang w:val="en-US" w:eastAsia="zh-CN"/>
        </w:rPr>
      </w:pPr>
      <w:r>
        <w:rPr>
          <w:rFonts w:hint="eastAsia"/>
          <w:b w:val="0"/>
          <w:bCs/>
          <w:sz w:val="28"/>
          <w:szCs w:val="28"/>
          <w:lang w:val="en-US" w:eastAsia="zh-CN"/>
        </w:rPr>
        <w:t>4.车体右侧：ABS双污物桶；</w:t>
      </w:r>
    </w:p>
    <w:p>
      <w:pPr>
        <w:jc w:val="left"/>
        <w:rPr>
          <w:rFonts w:hint="eastAsia"/>
          <w:b w:val="0"/>
          <w:bCs/>
          <w:sz w:val="28"/>
          <w:szCs w:val="28"/>
          <w:lang w:val="en-US" w:eastAsia="zh-CN"/>
        </w:rPr>
      </w:pPr>
      <w:r>
        <w:rPr>
          <w:rFonts w:hint="eastAsia"/>
          <w:b w:val="0"/>
          <w:bCs/>
          <w:sz w:val="28"/>
          <w:szCs w:val="28"/>
          <w:lang w:val="en-US" w:eastAsia="zh-CN"/>
        </w:rPr>
        <w:t>5.正面：中控锁可折叠，配置有≥2层抽屉，中抽面≥120mm*内空：约424*375*110mm，；</w:t>
      </w:r>
    </w:p>
    <w:p>
      <w:pPr>
        <w:jc w:val="left"/>
        <w:rPr>
          <w:rFonts w:hint="eastAsia"/>
          <w:lang w:val="en-US" w:eastAsia="zh-CN"/>
        </w:rPr>
      </w:pPr>
      <w:r>
        <w:rPr>
          <w:rFonts w:hint="eastAsia"/>
          <w:b w:val="0"/>
          <w:bCs/>
          <w:sz w:val="28"/>
          <w:szCs w:val="28"/>
          <w:lang w:val="en-US" w:eastAsia="zh-CN"/>
        </w:rPr>
        <w:t>6.车体底部：豪华万向插入式静音轮，其中两只带刹车功能。</w:t>
      </w:r>
    </w:p>
    <w:p>
      <w:pPr>
        <w:rPr>
          <w:rFonts w:hint="eastAsia"/>
          <w:lang w:val="en-US" w:eastAsia="zh-CN"/>
        </w:rPr>
      </w:pPr>
      <w:r>
        <w:drawing>
          <wp:inline distT="0" distB="0" distL="114300" distR="114300">
            <wp:extent cx="2764155" cy="2683510"/>
            <wp:effectExtent l="0" t="0" r="17145" b="254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7"/>
                    <a:stretch>
                      <a:fillRect/>
                    </a:stretch>
                  </pic:blipFill>
                  <pic:spPr>
                    <a:xfrm>
                      <a:off x="0" y="0"/>
                      <a:ext cx="2764155" cy="2683510"/>
                    </a:xfrm>
                    <a:prstGeom prst="rect">
                      <a:avLst/>
                    </a:prstGeom>
                    <a:noFill/>
                    <a:ln>
                      <a:noFill/>
                    </a:ln>
                  </pic:spPr>
                </pic:pic>
              </a:graphicData>
            </a:graphic>
          </wp:inline>
        </w:drawing>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7640EC4"/>
    <w:rsid w:val="0C012C2E"/>
    <w:rsid w:val="18221C50"/>
    <w:rsid w:val="2303726E"/>
    <w:rsid w:val="26AA4776"/>
    <w:rsid w:val="49784602"/>
    <w:rsid w:val="4D776590"/>
    <w:rsid w:val="4F1C7696"/>
    <w:rsid w:val="4F1E7E26"/>
    <w:rsid w:val="4F8A0D62"/>
    <w:rsid w:val="531C6FD2"/>
    <w:rsid w:val="64FF2FA9"/>
    <w:rsid w:val="6CF955A1"/>
    <w:rsid w:val="7304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7"/>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widowControl/>
      <w:spacing w:after="120"/>
      <w:jc w:val="left"/>
    </w:pPr>
    <w:rPr>
      <w:kern w:val="0"/>
      <w:sz w:val="20"/>
      <w:szCs w:val="20"/>
    </w:rPr>
  </w:style>
  <w:style w:type="paragraph" w:customStyle="1" w:styleId="4">
    <w:name w:val="标书正文1"/>
    <w:basedOn w:val="1"/>
    <w:qFormat/>
    <w:uiPriority w:val="0"/>
    <w:pPr>
      <w:tabs>
        <w:tab w:val="left" w:pos="5730"/>
        <w:tab w:val="left" w:pos="8280"/>
      </w:tabs>
      <w:adjustRightInd w:val="0"/>
      <w:snapToGrid w:val="0"/>
      <w:spacing w:line="360" w:lineRule="auto"/>
      <w:ind w:firstLine="200" w:firstLineChars="200"/>
    </w:pPr>
    <w:rPr>
      <w:rFonts w:ascii="宋体" w:hAnsi="Times New Roman" w:eastAsia="宋体" w:cs="Times New Roman"/>
      <w:kern w:val="28"/>
      <w:sz w:val="24"/>
    </w:rPr>
  </w:style>
  <w:style w:type="paragraph" w:styleId="6">
    <w:name w:val="Balloon Text"/>
    <w:basedOn w:val="1"/>
    <w:link w:val="16"/>
    <w:semiHidden/>
    <w:unhideWhenUsed/>
    <w:uiPriority w:val="99"/>
    <w:rPr>
      <w:sz w:val="18"/>
      <w:szCs w:val="18"/>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customStyle="1" w:styleId="14">
    <w:name w:val="页眉 Char"/>
    <w:basedOn w:val="12"/>
    <w:link w:val="8"/>
    <w:semiHidden/>
    <w:uiPriority w:val="99"/>
    <w:rPr>
      <w:sz w:val="18"/>
      <w:szCs w:val="18"/>
    </w:rPr>
  </w:style>
  <w:style w:type="character" w:customStyle="1" w:styleId="15">
    <w:name w:val="页脚 Char"/>
    <w:basedOn w:val="12"/>
    <w:link w:val="7"/>
    <w:uiPriority w:val="99"/>
    <w:rPr>
      <w:sz w:val="18"/>
      <w:szCs w:val="18"/>
    </w:rPr>
  </w:style>
  <w:style w:type="character" w:customStyle="1" w:styleId="16">
    <w:name w:val="批注框文本 Char"/>
    <w:basedOn w:val="12"/>
    <w:link w:val="6"/>
    <w:semiHidden/>
    <w:uiPriority w:val="99"/>
    <w:rPr>
      <w:sz w:val="18"/>
      <w:szCs w:val="18"/>
    </w:rPr>
  </w:style>
  <w:style w:type="character" w:customStyle="1" w:styleId="17">
    <w:name w:val="标题 1 Char"/>
    <w:basedOn w:val="12"/>
    <w:link w:val="5"/>
    <w:qFormat/>
    <w:uiPriority w:val="0"/>
    <w:rPr>
      <w:rFonts w:ascii="宋体" w:hAnsi="宋体" w:eastAsia="宋体" w:cs="宋体"/>
      <w:b/>
      <w:bCs/>
      <w:kern w:val="36"/>
      <w:sz w:val="48"/>
      <w:szCs w:val="48"/>
    </w:rPr>
  </w:style>
  <w:style w:type="paragraph" w:customStyle="1" w:styleId="18">
    <w:name w:val="正文文本缩进1"/>
    <w:basedOn w:val="1"/>
    <w:qFormat/>
    <w:uiPriority w:val="0"/>
    <w:pPr>
      <w:spacing w:after="120"/>
      <w:ind w:left="420" w:left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2345</Words>
  <Characters>2562</Characters>
  <Lines>17</Lines>
  <Paragraphs>4</Paragraphs>
  <TotalTime>4</TotalTime>
  <ScaleCrop>false</ScaleCrop>
  <LinksUpToDate>false</LinksUpToDate>
  <CharactersWithSpaces>2973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没点穴的武侠不好看</cp:lastModifiedBy>
  <dcterms:modified xsi:type="dcterms:W3CDTF">2024-06-28T08:23:29Z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04871E7F5CE94BEB9DE223AD1F1EB141</vt:lpwstr>
  </property>
</Properties>
</file>