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458000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  <w:highlight w:val="none"/>
        </w:rPr>
      </w:pP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746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447600.00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none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10400.00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75" w:type="dxa"/>
            <w:gridSpan w:val="3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458000.00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cs="华文宋体" w:asciiTheme="minorEastAsia" w:hAnsiTheme="minorEastAsia" w:eastAsiaTheme="minorEastAsia"/>
          <w:szCs w:val="28"/>
        </w:rPr>
        <w:t>、付款方式：提货券领取前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一</w:t>
      </w:r>
      <w:r>
        <w:rPr>
          <w:rFonts w:hint="eastAsia" w:cs="华文宋体" w:asciiTheme="minorEastAsia" w:hAnsiTheme="minorEastAsia" w:eastAsiaTheme="minorEastAsia"/>
          <w:szCs w:val="28"/>
        </w:rPr>
        <w:t>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Cs w:val="28"/>
        </w:rPr>
        <w:t>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30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pStyle w:val="2"/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宋体" w:asciiTheme="minorEastAsia" w:hAnsiTheme="minorEastAsia" w:eastAsiaTheme="minorEastAsia"/>
          <w:kern w:val="2"/>
          <w:sz w:val="28"/>
          <w:szCs w:val="28"/>
          <w:highlight w:val="none"/>
          <w:lang w:val="en-US" w:eastAsia="zh-CN" w:bidi="ar-SA"/>
        </w:rPr>
        <w:t>3、提货范围：中国传统节日用品和生活用品。</w:t>
      </w:r>
    </w:p>
    <w:p>
      <w:pPr>
        <w:spacing w:line="440" w:lineRule="exact"/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</w:rPr>
        <w:t>、消费时间：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6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30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日前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eastAsia="zh-CN"/>
        </w:rPr>
        <w:t>。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  <w:lang w:val="en-US" w:eastAsia="zh-CN"/>
        </w:rPr>
        <w:t>五</w:t>
      </w:r>
      <w:r>
        <w:rPr>
          <w:rFonts w:hint="eastAsia" w:cs="华文宋体" w:asciiTheme="minorEastAsia" w:hAnsiTheme="minorEastAsia" w:eastAsiaTheme="minorEastAsia"/>
          <w:b w:val="0"/>
          <w:bCs w:val="0"/>
        </w:rPr>
        <w:t>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六</w:t>
      </w:r>
      <w:r>
        <w:rPr>
          <w:rFonts w:hint="eastAsia" w:cs="华文宋体" w:asciiTheme="minorEastAsia" w:hAnsiTheme="minorEastAsia" w:eastAsiaTheme="minorEastAsia"/>
          <w:szCs w:val="28"/>
        </w:rPr>
        <w:t>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>综合考虑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，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并通过职工代表大会投票表决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七</w:t>
      </w:r>
      <w:r>
        <w:rPr>
          <w:rFonts w:hint="eastAsia" w:cs="华文宋体" w:asciiTheme="minorEastAsia" w:hAnsiTheme="minorEastAsia" w:eastAsiaTheme="minorEastAsia"/>
          <w:szCs w:val="28"/>
        </w:rPr>
        <w:t>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3、服务方案、质量承诺</w:t>
      </w:r>
      <w:bookmarkStart w:id="0" w:name="_GoBack"/>
      <w:bookmarkEnd w:id="0"/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等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八</w:t>
      </w:r>
      <w:r>
        <w:rPr>
          <w:rFonts w:hint="eastAsia" w:cs="华文宋体" w:asciiTheme="minorEastAsia" w:hAnsiTheme="minorEastAsia" w:eastAsiaTheme="minorEastAsia"/>
          <w:szCs w:val="28"/>
        </w:rPr>
        <w:t>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</w:p>
    <w:p>
      <w:pPr>
        <w:ind w:firstLine="560" w:firstLineChars="200"/>
        <w:jc w:val="left"/>
        <w:rPr>
          <w:sz w:val="44"/>
          <w:szCs w:val="44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九</w:t>
      </w:r>
      <w:r>
        <w:rPr>
          <w:rFonts w:hint="eastAsia" w:cs="华文宋体" w:asciiTheme="minorEastAsia" w:hAnsiTheme="minorEastAsia" w:eastAsiaTheme="minorEastAsia"/>
          <w:szCs w:val="28"/>
        </w:rPr>
        <w:t>、采购结果在潍坊高新技术产业开发区人民医院官方网站公布。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  <w:lang w:eastAsia="zh-CN"/>
        </w:rPr>
        <w:t>2024年春节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p>
      <w:pPr>
        <w:pStyle w:val="2"/>
        <w:rPr>
          <w:sz w:val="21"/>
          <w:szCs w:val="21"/>
        </w:rPr>
      </w:pPr>
      <w:r>
        <w:rPr>
          <w:rFonts w:hint="eastAsia" w:cs="华文宋体" w:asciiTheme="minorEastAsia" w:hAnsiTheme="minorEastAsia" w:eastAsiaTheme="minorEastAsia"/>
          <w:sz w:val="21"/>
          <w:szCs w:val="21"/>
          <w:highlight w:val="none"/>
          <w:lang w:val="en-US" w:eastAsia="zh-CN"/>
        </w:rPr>
        <w:t>供应商报价时，在预算金额的基础上给予优惠下浮报团购价，不得超过预算价。团购报价超过预算价格为无效报价。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746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  <w:highlight w:val="red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highlight w:val="red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 xml:space="preserve">总    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二、供应商汇款信息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Cs w:val="28"/>
          <w:lang w:val="en-US" w:eastAsia="zh-CN"/>
        </w:rPr>
      </w:pP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潍坊高新技术产业开发区人民医院2024年春节职工福利品采购项目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t>后附授权代表人身份证复印件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报价单位营业执照、企业简介、服务方案及质量承诺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07086816"/>
    <w:rsid w:val="0AB550E6"/>
    <w:rsid w:val="13F95891"/>
    <w:rsid w:val="165C7A6D"/>
    <w:rsid w:val="1A3D3589"/>
    <w:rsid w:val="21EA2F96"/>
    <w:rsid w:val="24453D14"/>
    <w:rsid w:val="31F310D1"/>
    <w:rsid w:val="35C1291F"/>
    <w:rsid w:val="368C2A62"/>
    <w:rsid w:val="37DE6D47"/>
    <w:rsid w:val="462F24CF"/>
    <w:rsid w:val="47EC5FAC"/>
    <w:rsid w:val="48532777"/>
    <w:rsid w:val="48ED5B74"/>
    <w:rsid w:val="50460905"/>
    <w:rsid w:val="50872229"/>
    <w:rsid w:val="5B995D89"/>
    <w:rsid w:val="5D2F5ED6"/>
    <w:rsid w:val="5DC24BB7"/>
    <w:rsid w:val="61F1054F"/>
    <w:rsid w:val="62EB2152"/>
    <w:rsid w:val="68AB581D"/>
    <w:rsid w:val="6A167328"/>
    <w:rsid w:val="6B917A08"/>
    <w:rsid w:val="6EC61C9E"/>
    <w:rsid w:val="700A4FE3"/>
    <w:rsid w:val="724057EE"/>
    <w:rsid w:val="73CE52B8"/>
    <w:rsid w:val="77083E8A"/>
    <w:rsid w:val="783E5F56"/>
    <w:rsid w:val="78637ADC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31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2024-01-11T06:07:52Z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