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w:t>
      </w:r>
      <w:r>
        <w:rPr>
          <w:rFonts w:hint="eastAsia"/>
          <w:sz w:val="28"/>
          <w:szCs w:val="28"/>
          <w:lang w:val="en-US" w:eastAsia="zh-CN"/>
        </w:rPr>
        <w:t>合计</w:t>
      </w:r>
      <w:r>
        <w:rPr>
          <w:rFonts w:hint="eastAsia"/>
          <w:sz w:val="28"/>
          <w:szCs w:val="28"/>
        </w:rPr>
        <w:t>价值3000元以上的医疗设备，付款方式为：供应商提供正规销售发票，设备验收合格后</w:t>
      </w:r>
      <w:r>
        <w:rPr>
          <w:rFonts w:hint="eastAsia"/>
          <w:sz w:val="28"/>
          <w:szCs w:val="28"/>
          <w:lang w:val="en-US" w:eastAsia="zh-CN"/>
        </w:rPr>
        <w:t>6</w:t>
      </w:r>
      <w:r>
        <w:rPr>
          <w:rFonts w:hint="eastAsia"/>
          <w:sz w:val="28"/>
          <w:szCs w:val="28"/>
        </w:rPr>
        <w:t>个月支付合同金额90%，余款质保期满无质量问题后付清。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2、要求：质保期不少于1年并且供应商的设备质保时间不得小于设备生产厂家的质保时间，设备出厂时间不得早于合同签订日期10个月。</w:t>
      </w:r>
    </w:p>
    <w:p>
      <w:pPr>
        <w:rPr>
          <w:b/>
          <w:sz w:val="28"/>
          <w:szCs w:val="28"/>
        </w:rPr>
      </w:pPr>
      <w:r>
        <w:rPr>
          <w:rFonts w:hint="eastAsia"/>
          <w:b/>
          <w:sz w:val="28"/>
          <w:szCs w:val="28"/>
        </w:rPr>
        <w:t>四、询价采购货物明细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33"/>
        <w:gridCol w:w="2625"/>
        <w:gridCol w:w="1072"/>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top"/>
          </w:tcPr>
          <w:p>
            <w:pPr>
              <w:widowControl/>
              <w:spacing w:line="405" w:lineRule="atLeast"/>
              <w:jc w:val="center"/>
              <w:rPr>
                <w:rFonts w:hint="eastAsia" w:cs="宋体" w:asciiTheme="minorEastAsia" w:hAnsiTheme="minorEastAsia"/>
                <w:color w:val="333333"/>
                <w:kern w:val="0"/>
                <w:szCs w:val="21"/>
                <w:lang w:val="en-US" w:eastAsia="zh-CN"/>
              </w:rPr>
            </w:pPr>
          </w:p>
          <w:p>
            <w:pPr>
              <w:widowControl/>
              <w:spacing w:line="405" w:lineRule="atLeast"/>
              <w:jc w:val="center"/>
              <w:rPr>
                <w:rFonts w:hint="eastAsia" w:cs="宋体" w:asciiTheme="minorEastAsia" w:hAnsiTheme="minorEastAsia"/>
                <w:color w:val="333333"/>
                <w:kern w:val="0"/>
                <w:szCs w:val="21"/>
                <w:lang w:val="en-US" w:eastAsia="zh-CN"/>
              </w:rPr>
            </w:pPr>
          </w:p>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包一</w:t>
            </w:r>
          </w:p>
        </w:tc>
        <w:tc>
          <w:tcPr>
            <w:tcW w:w="1033" w:type="dxa"/>
            <w:vAlign w:val="top"/>
          </w:tcPr>
          <w:p>
            <w:pPr>
              <w:widowControl/>
              <w:spacing w:line="405" w:lineRule="atLeast"/>
              <w:jc w:val="center"/>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rPr>
              <w:t>序号</w:t>
            </w:r>
          </w:p>
        </w:tc>
        <w:tc>
          <w:tcPr>
            <w:tcW w:w="2625" w:type="dxa"/>
            <w:vAlign w:val="top"/>
          </w:tcPr>
          <w:p>
            <w:pPr>
              <w:widowControl/>
              <w:spacing w:line="405" w:lineRule="atLeast"/>
              <w:jc w:val="center"/>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名称</w:t>
            </w:r>
          </w:p>
        </w:tc>
        <w:tc>
          <w:tcPr>
            <w:tcW w:w="1072"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3366"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top"/>
          </w:tcPr>
          <w:p>
            <w:pPr>
              <w:widowControl/>
              <w:spacing w:line="405" w:lineRule="atLeast"/>
              <w:jc w:val="center"/>
              <w:rPr>
                <w:rFonts w:hint="eastAsia" w:cs="宋体" w:asciiTheme="minorEastAsia" w:hAnsiTheme="minorEastAsia"/>
                <w:color w:val="333333"/>
                <w:kern w:val="0"/>
                <w:szCs w:val="21"/>
                <w:lang w:eastAsia="zh-CN"/>
              </w:rPr>
            </w:pPr>
          </w:p>
        </w:tc>
        <w:tc>
          <w:tcPr>
            <w:tcW w:w="103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w:t>
            </w:r>
          </w:p>
        </w:tc>
        <w:tc>
          <w:tcPr>
            <w:tcW w:w="2625"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台式高速冷冻离心机</w:t>
            </w:r>
          </w:p>
        </w:tc>
        <w:tc>
          <w:tcPr>
            <w:tcW w:w="1072" w:type="dxa"/>
            <w:vAlign w:val="top"/>
          </w:tcPr>
          <w:p>
            <w:pPr>
              <w:widowControl/>
              <w:spacing w:line="405" w:lineRule="atLeast"/>
              <w:jc w:val="center"/>
              <w:rPr>
                <w:rFonts w:hint="default" w:cs="宋体" w:asciiTheme="minorEastAsia" w:hAnsiTheme="minorEastAsia"/>
                <w:color w:val="333333"/>
                <w:kern w:val="0"/>
                <w:szCs w:val="21"/>
                <w:lang w:val="en-US"/>
              </w:rPr>
            </w:pPr>
            <w:r>
              <w:rPr>
                <w:rFonts w:hint="eastAsia" w:cs="宋体" w:asciiTheme="minorEastAsia" w:hAnsiTheme="minorEastAsia"/>
                <w:color w:val="333333"/>
                <w:kern w:val="0"/>
                <w:szCs w:val="21"/>
                <w:lang w:val="en-US" w:eastAsia="zh-CN"/>
              </w:rPr>
              <w:t>1台</w:t>
            </w:r>
          </w:p>
        </w:tc>
        <w:tc>
          <w:tcPr>
            <w:tcW w:w="3366"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27600元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top"/>
          </w:tcPr>
          <w:p>
            <w:pPr>
              <w:widowControl/>
              <w:spacing w:line="405" w:lineRule="atLeast"/>
              <w:jc w:val="center"/>
              <w:rPr>
                <w:rFonts w:hint="eastAsia" w:cs="宋体" w:asciiTheme="minorEastAsia" w:hAnsiTheme="minorEastAsia"/>
                <w:color w:val="333333"/>
                <w:kern w:val="0"/>
                <w:szCs w:val="21"/>
                <w:lang w:val="en-US" w:eastAsia="zh-CN"/>
              </w:rPr>
            </w:pPr>
          </w:p>
        </w:tc>
        <w:tc>
          <w:tcPr>
            <w:tcW w:w="103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w:t>
            </w:r>
          </w:p>
        </w:tc>
        <w:tc>
          <w:tcPr>
            <w:tcW w:w="2625" w:type="dxa"/>
            <w:vAlign w:val="top"/>
          </w:tcPr>
          <w:p>
            <w:pPr>
              <w:widowControl/>
              <w:spacing w:line="405" w:lineRule="atLeast"/>
              <w:jc w:val="center"/>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医用红外体温计</w:t>
            </w:r>
          </w:p>
        </w:tc>
        <w:tc>
          <w:tcPr>
            <w:tcW w:w="1072"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2个</w:t>
            </w:r>
          </w:p>
        </w:tc>
        <w:tc>
          <w:tcPr>
            <w:tcW w:w="3366" w:type="dxa"/>
            <w:vAlign w:val="top"/>
          </w:tcPr>
          <w:p>
            <w:pPr>
              <w:widowControl/>
              <w:spacing w:line="405" w:lineRule="atLeast"/>
              <w:jc w:val="center"/>
              <w:rPr>
                <w:rFonts w:hint="default" w:cs="宋体" w:asciiTheme="minorEastAsia" w:hAnsiTheme="minorEastAsia"/>
                <w:color w:val="333333"/>
                <w:kern w:val="0"/>
                <w:szCs w:val="21"/>
                <w:lang w:val="en-US" w:eastAsia="zh-CN"/>
              </w:rPr>
            </w:pPr>
            <w:bookmarkStart w:id="0" w:name="_GoBack"/>
            <w:bookmarkEnd w:id="0"/>
            <w:r>
              <w:rPr>
                <w:rFonts w:hint="eastAsia" w:cs="宋体" w:asciiTheme="minorEastAsia" w:hAnsiTheme="minorEastAsia"/>
                <w:color w:val="333333"/>
                <w:kern w:val="0"/>
                <w:szCs w:val="21"/>
                <w:lang w:val="en-US" w:eastAsia="zh-CN"/>
              </w:rPr>
              <w:t>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top"/>
          </w:tcPr>
          <w:p>
            <w:pPr>
              <w:widowControl/>
              <w:spacing w:line="405" w:lineRule="atLeast"/>
              <w:jc w:val="center"/>
              <w:rPr>
                <w:rFonts w:hint="eastAsia" w:cs="宋体" w:asciiTheme="minorEastAsia" w:hAnsiTheme="minorEastAsia"/>
                <w:color w:val="333333"/>
                <w:kern w:val="0"/>
                <w:szCs w:val="21"/>
                <w:lang w:val="en-US" w:eastAsia="zh-CN"/>
              </w:rPr>
            </w:pPr>
          </w:p>
        </w:tc>
        <w:tc>
          <w:tcPr>
            <w:tcW w:w="103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3</w:t>
            </w:r>
          </w:p>
        </w:tc>
        <w:tc>
          <w:tcPr>
            <w:tcW w:w="2625"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单孔无影灯</w:t>
            </w:r>
          </w:p>
        </w:tc>
        <w:tc>
          <w:tcPr>
            <w:tcW w:w="1072"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1个</w:t>
            </w:r>
          </w:p>
        </w:tc>
        <w:tc>
          <w:tcPr>
            <w:tcW w:w="3366"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top"/>
          </w:tcPr>
          <w:p>
            <w:pPr>
              <w:widowControl/>
              <w:spacing w:line="405" w:lineRule="atLeast"/>
              <w:jc w:val="center"/>
              <w:rPr>
                <w:rFonts w:hint="default" w:cs="宋体" w:asciiTheme="minorEastAsia" w:hAnsiTheme="minorEastAsia"/>
                <w:color w:val="333333"/>
                <w:kern w:val="0"/>
                <w:szCs w:val="21"/>
                <w:lang w:val="en-US" w:eastAsia="zh-CN"/>
              </w:rPr>
            </w:pPr>
          </w:p>
        </w:tc>
        <w:tc>
          <w:tcPr>
            <w:tcW w:w="103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4</w:t>
            </w:r>
          </w:p>
        </w:tc>
        <w:tc>
          <w:tcPr>
            <w:tcW w:w="2625"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气管插管喉镜</w:t>
            </w:r>
          </w:p>
        </w:tc>
        <w:tc>
          <w:tcPr>
            <w:tcW w:w="1072"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1个</w:t>
            </w:r>
          </w:p>
        </w:tc>
        <w:tc>
          <w:tcPr>
            <w:tcW w:w="3366"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700元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hint="default" w:asciiTheme="minorEastAsia" w:hAnsiTheme="minorEastAsia" w:eastAsiaTheme="minorEastAsia"/>
          <w:sz w:val="24"/>
          <w:szCs w:val="24"/>
          <w:lang w:val="en-US" w:eastAsia="zh-CN"/>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eastAsia="zh-CN"/>
        </w:rPr>
        <w:t>，</w:t>
      </w:r>
      <w:r>
        <w:rPr>
          <w:rFonts w:hint="eastAsia" w:asciiTheme="minorEastAsia" w:hAnsiTheme="minorEastAsia"/>
          <w:sz w:val="24"/>
          <w:szCs w:val="24"/>
        </w:rPr>
        <w:t>医疗器械生产</w:t>
      </w:r>
      <w:r>
        <w:rPr>
          <w:rFonts w:hint="eastAsia" w:asciiTheme="minorEastAsia" w:hAnsiTheme="minorEastAsia"/>
          <w:sz w:val="24"/>
          <w:szCs w:val="24"/>
          <w:lang w:eastAsia="zh-CN"/>
        </w:rPr>
        <w:t>、</w:t>
      </w:r>
      <w:r>
        <w:rPr>
          <w:rFonts w:hint="eastAsia" w:asciiTheme="minorEastAsia" w:hAnsiTheme="minorEastAsia"/>
          <w:sz w:val="24"/>
          <w:szCs w:val="24"/>
        </w:rPr>
        <w:t>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w:t>
      </w:r>
      <w:r>
        <w:rPr>
          <w:rFonts w:hint="eastAsia" w:asciiTheme="minorEastAsia" w:hAnsiTheme="minorEastAsia"/>
          <w:sz w:val="24"/>
          <w:szCs w:val="24"/>
          <w:lang w:eastAsia="zh-CN"/>
        </w:rPr>
        <w:t>，</w:t>
      </w:r>
      <w:r>
        <w:rPr>
          <w:rFonts w:hint="eastAsia" w:asciiTheme="minorEastAsia" w:hAnsiTheme="minorEastAsia"/>
          <w:sz w:val="24"/>
          <w:szCs w:val="24"/>
        </w:rPr>
        <w:t>产品注册证/备案登记表或同类文件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对代理经销商的授权文件（若出现授权文件不唯一情况，报价同一厂家产品的供应商视为一家供应商响应报价，以报价材料符合要求、价格最低顺序确定同一产品选定供应商的排名顺序）</w:t>
      </w:r>
    </w:p>
    <w:p>
      <w:pPr>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说明书、技术白皮书等供应商认为有必要的其他材料</w:t>
      </w:r>
    </w:p>
    <w:p>
      <w:pPr>
        <w:rPr>
          <w:rFonts w:hint="eastAsia"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left"/>
        <w:rPr>
          <w:rFonts w:hint="eastAsia"/>
          <w:b/>
          <w:sz w:val="28"/>
          <w:szCs w:val="28"/>
        </w:rPr>
      </w:pP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jc w:val="left"/>
        <w:rPr>
          <w:rFonts w:hint="eastAsia" w:ascii="宋体" w:hAnsi="宋体" w:eastAsia="宋体" w:cs="宋体"/>
          <w:b/>
          <w:bCs/>
          <w:i w:val="0"/>
          <w:caps w:val="0"/>
          <w:color w:val="000000"/>
          <w:spacing w:val="0"/>
          <w:sz w:val="28"/>
          <w:szCs w:val="28"/>
          <w:lang w:eastAsia="zh-CN"/>
        </w:rPr>
      </w:pPr>
      <w:r>
        <w:rPr>
          <w:rFonts w:hint="eastAsia" w:asciiTheme="minorEastAsia" w:hAnsiTheme="minorEastAsia" w:cstheme="minorEastAsia"/>
          <w:b/>
          <w:bCs/>
          <w:kern w:val="0"/>
          <w:sz w:val="28"/>
          <w:szCs w:val="28"/>
          <w:lang w:val="en-US" w:eastAsia="zh-CN"/>
        </w:rPr>
        <w:t>一、</w:t>
      </w:r>
      <w:r>
        <w:rPr>
          <w:rFonts w:hint="eastAsia" w:ascii="宋体" w:hAnsi="宋体" w:eastAsia="宋体" w:cs="宋体"/>
          <w:b/>
          <w:bCs/>
          <w:i w:val="0"/>
          <w:caps w:val="0"/>
          <w:color w:val="000000"/>
          <w:spacing w:val="0"/>
          <w:sz w:val="28"/>
          <w:szCs w:val="28"/>
        </w:rPr>
        <w:t>台式高速冷冻离心机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120" w:right="0" w:hanging="120"/>
        <w:jc w:val="both"/>
        <w:rPr>
          <w:rFonts w:hint="eastAsia" w:ascii="宋体" w:hAnsi="宋体" w:eastAsia="宋体" w:cs="宋体"/>
          <w:b w:val="0"/>
          <w:bCs w:val="0"/>
          <w:i w:val="0"/>
          <w:color w:val="auto"/>
          <w:sz w:val="24"/>
          <w:szCs w:val="24"/>
          <w:u w:val="none"/>
        </w:rPr>
      </w:pPr>
      <w:r>
        <w:rPr>
          <w:rFonts w:hint="eastAsia" w:cs="宋体"/>
          <w:b w:val="0"/>
          <w:bCs w:val="0"/>
          <w:i w:val="0"/>
          <w:caps w:val="0"/>
          <w:color w:val="auto"/>
          <w:spacing w:val="0"/>
          <w:sz w:val="24"/>
          <w:szCs w:val="24"/>
          <w:u w:val="none"/>
          <w:lang w:val="en-US" w:eastAsia="zh-CN"/>
        </w:rPr>
        <w:t>1、</w:t>
      </w:r>
      <w:r>
        <w:rPr>
          <w:rFonts w:hint="eastAsia" w:ascii="宋体" w:hAnsi="宋体" w:eastAsia="宋体" w:cs="宋体"/>
          <w:b w:val="0"/>
          <w:bCs w:val="0"/>
          <w:i w:val="0"/>
          <w:caps w:val="0"/>
          <w:color w:val="auto"/>
          <w:spacing w:val="0"/>
          <w:sz w:val="24"/>
          <w:szCs w:val="24"/>
          <w:u w:val="none"/>
        </w:rPr>
        <w:t>可配多种容量转子</w:t>
      </w:r>
      <w:r>
        <w:rPr>
          <w:rFonts w:hint="eastAsia" w:cs="宋体"/>
          <w:b w:val="0"/>
          <w:bCs w:val="0"/>
          <w:i w:val="0"/>
          <w:caps w:val="0"/>
          <w:color w:val="auto"/>
          <w:spacing w:val="0"/>
          <w:sz w:val="24"/>
          <w:szCs w:val="24"/>
          <w:u w:val="none"/>
          <w:lang w:eastAsia="zh-CN"/>
        </w:rPr>
        <w:t>，</w:t>
      </w:r>
      <w:r>
        <w:rPr>
          <w:rFonts w:hint="eastAsia" w:cs="宋体"/>
          <w:b w:val="0"/>
          <w:bCs w:val="0"/>
          <w:i w:val="0"/>
          <w:caps w:val="0"/>
          <w:color w:val="auto"/>
          <w:spacing w:val="0"/>
          <w:sz w:val="24"/>
          <w:szCs w:val="24"/>
          <w:u w:val="none"/>
          <w:lang w:val="en-US" w:eastAsia="zh-CN"/>
        </w:rPr>
        <w:t>并对所匹配转子型号单独报价</w:t>
      </w:r>
      <w:r>
        <w:rPr>
          <w:rFonts w:hint="eastAsia" w:ascii="宋体" w:hAnsi="宋体" w:eastAsia="宋体" w:cs="宋体"/>
          <w:b w:val="0"/>
          <w:bCs w:val="0"/>
          <w:i w:val="0"/>
          <w:caps w:val="0"/>
          <w:color w:val="auto"/>
          <w:spacing w:val="0"/>
          <w:sz w:val="24"/>
          <w:szCs w:val="24"/>
          <w:u w:val="no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120" w:right="0" w:hanging="120"/>
        <w:jc w:val="both"/>
        <w:rPr>
          <w:rFonts w:hint="eastAsia" w:ascii="宋体" w:hAnsi="宋体" w:eastAsia="宋体" w:cs="宋体"/>
          <w:b w:val="0"/>
          <w:bCs w:val="0"/>
          <w:i w:val="0"/>
          <w:color w:val="auto"/>
          <w:sz w:val="24"/>
          <w:szCs w:val="24"/>
          <w:u w:val="none"/>
        </w:rPr>
      </w:pPr>
      <w:r>
        <w:rPr>
          <w:rFonts w:hint="eastAsia" w:cs="宋体"/>
          <w:b w:val="0"/>
          <w:bCs w:val="0"/>
          <w:i w:val="0"/>
          <w:caps w:val="0"/>
          <w:color w:val="auto"/>
          <w:spacing w:val="0"/>
          <w:sz w:val="24"/>
          <w:szCs w:val="24"/>
          <w:u w:val="none"/>
          <w:lang w:val="en-US" w:eastAsia="zh-CN"/>
        </w:rPr>
        <w:t>2、</w:t>
      </w:r>
      <w:r>
        <w:rPr>
          <w:rFonts w:hint="eastAsia" w:ascii="宋体" w:hAnsi="宋体" w:eastAsia="宋体" w:cs="宋体"/>
          <w:b w:val="0"/>
          <w:bCs w:val="0"/>
          <w:i w:val="0"/>
          <w:caps w:val="0"/>
          <w:color w:val="auto"/>
          <w:spacing w:val="0"/>
          <w:sz w:val="24"/>
          <w:szCs w:val="24"/>
          <w:u w:val="none"/>
        </w:rPr>
        <w:t>采用全钢结构，不锈钢离心腔。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120" w:right="0" w:hanging="120"/>
        <w:jc w:val="both"/>
        <w:rPr>
          <w:rFonts w:hint="eastAsia" w:ascii="宋体" w:hAnsi="宋体" w:eastAsia="宋体" w:cs="宋体"/>
          <w:b w:val="0"/>
          <w:bCs w:val="0"/>
          <w:i w:val="0"/>
          <w:color w:val="auto"/>
          <w:sz w:val="24"/>
          <w:szCs w:val="24"/>
          <w:u w:val="none"/>
        </w:rPr>
      </w:pPr>
      <w:r>
        <w:rPr>
          <w:rFonts w:hint="eastAsia" w:cs="宋体"/>
          <w:b w:val="0"/>
          <w:bCs w:val="0"/>
          <w:i w:val="0"/>
          <w:caps w:val="0"/>
          <w:color w:val="auto"/>
          <w:spacing w:val="0"/>
          <w:sz w:val="24"/>
          <w:szCs w:val="24"/>
          <w:u w:val="none"/>
          <w:lang w:val="en-US" w:eastAsia="zh-CN"/>
        </w:rPr>
        <w:t>3、</w:t>
      </w:r>
      <w:r>
        <w:rPr>
          <w:rFonts w:hint="eastAsia" w:ascii="宋体" w:hAnsi="宋体" w:eastAsia="宋体" w:cs="宋体"/>
          <w:b w:val="0"/>
          <w:bCs w:val="0"/>
          <w:i w:val="0"/>
          <w:caps w:val="0"/>
          <w:color w:val="auto"/>
          <w:spacing w:val="0"/>
          <w:sz w:val="24"/>
          <w:szCs w:val="24"/>
          <w:u w:val="none"/>
        </w:rPr>
        <w:t>交流变频电机驱动。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120" w:right="0" w:hanging="120"/>
        <w:jc w:val="both"/>
        <w:rPr>
          <w:rFonts w:hint="eastAsia" w:ascii="宋体" w:hAnsi="宋体" w:eastAsia="宋体" w:cs="宋体"/>
          <w:b w:val="0"/>
          <w:bCs w:val="0"/>
          <w:i w:val="0"/>
          <w:color w:val="auto"/>
          <w:sz w:val="24"/>
          <w:szCs w:val="24"/>
          <w:u w:val="none"/>
        </w:rPr>
      </w:pPr>
      <w:r>
        <w:rPr>
          <w:rFonts w:hint="eastAsia" w:cs="宋体"/>
          <w:b w:val="0"/>
          <w:bCs w:val="0"/>
          <w:i w:val="0"/>
          <w:caps w:val="0"/>
          <w:color w:val="auto"/>
          <w:spacing w:val="0"/>
          <w:sz w:val="24"/>
          <w:szCs w:val="24"/>
          <w:u w:val="none"/>
          <w:lang w:val="en-US" w:eastAsia="zh-CN"/>
        </w:rPr>
        <w:t>4、</w:t>
      </w:r>
      <w:r>
        <w:rPr>
          <w:rFonts w:hint="eastAsia" w:ascii="宋体" w:hAnsi="宋体" w:eastAsia="宋体" w:cs="宋体"/>
          <w:b w:val="0"/>
          <w:bCs w:val="0"/>
          <w:i w:val="0"/>
          <w:caps w:val="0"/>
          <w:color w:val="auto"/>
          <w:spacing w:val="0"/>
          <w:sz w:val="24"/>
          <w:szCs w:val="24"/>
          <w:u w:val="none"/>
        </w:rPr>
        <w:t>LED显示。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120" w:right="0" w:hanging="120"/>
        <w:jc w:val="both"/>
        <w:rPr>
          <w:rFonts w:hint="eastAsia" w:ascii="宋体" w:hAnsi="宋体" w:eastAsia="宋体" w:cs="宋体"/>
          <w:b w:val="0"/>
          <w:bCs w:val="0"/>
          <w:i w:val="0"/>
          <w:color w:val="auto"/>
          <w:sz w:val="24"/>
          <w:szCs w:val="24"/>
          <w:u w:val="none"/>
        </w:rPr>
      </w:pPr>
      <w:r>
        <w:rPr>
          <w:rFonts w:hint="eastAsia" w:cs="宋体"/>
          <w:b w:val="0"/>
          <w:bCs w:val="0"/>
          <w:i w:val="0"/>
          <w:caps w:val="0"/>
          <w:color w:val="auto"/>
          <w:spacing w:val="0"/>
          <w:sz w:val="24"/>
          <w:szCs w:val="24"/>
          <w:u w:val="none"/>
          <w:lang w:val="en-US" w:eastAsia="zh-CN"/>
        </w:rPr>
        <w:t>5、</w:t>
      </w:r>
      <w:r>
        <w:rPr>
          <w:rFonts w:hint="eastAsia" w:ascii="宋体" w:hAnsi="宋体" w:eastAsia="宋体" w:cs="宋体"/>
          <w:b w:val="0"/>
          <w:bCs w:val="0"/>
          <w:i w:val="0"/>
          <w:caps w:val="0"/>
          <w:color w:val="auto"/>
          <w:spacing w:val="0"/>
          <w:sz w:val="24"/>
          <w:szCs w:val="24"/>
          <w:u w:val="none"/>
        </w:rPr>
        <w:t>转子</w:t>
      </w:r>
      <w:r>
        <w:rPr>
          <w:rFonts w:hint="eastAsia" w:cs="宋体"/>
          <w:b w:val="0"/>
          <w:bCs w:val="0"/>
          <w:i w:val="0"/>
          <w:caps w:val="0"/>
          <w:color w:val="auto"/>
          <w:spacing w:val="0"/>
          <w:sz w:val="24"/>
          <w:szCs w:val="24"/>
          <w:u w:val="none"/>
          <w:lang w:val="en-US" w:eastAsia="zh-CN"/>
        </w:rPr>
        <w:t>可</w:t>
      </w:r>
      <w:r>
        <w:rPr>
          <w:rFonts w:hint="eastAsia" w:ascii="宋体" w:hAnsi="宋体" w:eastAsia="宋体" w:cs="宋体"/>
          <w:b w:val="0"/>
          <w:bCs w:val="0"/>
          <w:i w:val="0"/>
          <w:caps w:val="0"/>
          <w:color w:val="auto"/>
          <w:spacing w:val="0"/>
          <w:sz w:val="24"/>
          <w:szCs w:val="24"/>
          <w:u w:val="none"/>
        </w:rPr>
        <w:t>自动识别，并进行限速控制。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120" w:right="0" w:hanging="120"/>
        <w:jc w:val="both"/>
        <w:rPr>
          <w:rFonts w:hint="eastAsia" w:ascii="宋体" w:hAnsi="宋体" w:eastAsia="宋体" w:cs="宋体"/>
          <w:b w:val="0"/>
          <w:bCs w:val="0"/>
          <w:i w:val="0"/>
          <w:color w:val="auto"/>
          <w:sz w:val="24"/>
          <w:szCs w:val="24"/>
          <w:u w:val="none"/>
        </w:rPr>
      </w:pPr>
      <w:r>
        <w:rPr>
          <w:rFonts w:hint="eastAsia" w:cs="宋体"/>
          <w:b w:val="0"/>
          <w:bCs w:val="0"/>
          <w:i w:val="0"/>
          <w:caps w:val="0"/>
          <w:color w:val="auto"/>
          <w:spacing w:val="0"/>
          <w:sz w:val="24"/>
          <w:szCs w:val="24"/>
          <w:u w:val="none"/>
          <w:lang w:val="en-US" w:eastAsia="zh-CN"/>
        </w:rPr>
        <w:t>6、</w:t>
      </w:r>
      <w:r>
        <w:rPr>
          <w:rFonts w:hint="eastAsia" w:ascii="宋体" w:hAnsi="宋体" w:eastAsia="宋体" w:cs="宋体"/>
          <w:b w:val="0"/>
          <w:bCs w:val="0"/>
          <w:i w:val="0"/>
          <w:caps w:val="0"/>
          <w:color w:val="auto"/>
          <w:spacing w:val="0"/>
          <w:sz w:val="24"/>
          <w:szCs w:val="24"/>
          <w:u w:val="none"/>
        </w:rPr>
        <w:t>运行中可随时更改参数，无需停机。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120" w:right="0" w:hanging="120"/>
        <w:jc w:val="both"/>
        <w:rPr>
          <w:rFonts w:hint="eastAsia" w:ascii="宋体" w:hAnsi="宋体" w:eastAsia="宋体" w:cs="宋体"/>
          <w:b w:val="0"/>
          <w:bCs w:val="0"/>
          <w:i w:val="0"/>
          <w:color w:val="auto"/>
          <w:sz w:val="24"/>
          <w:szCs w:val="24"/>
          <w:u w:val="none"/>
        </w:rPr>
      </w:pPr>
      <w:r>
        <w:rPr>
          <w:rFonts w:hint="eastAsia" w:cs="宋体"/>
          <w:b w:val="0"/>
          <w:bCs w:val="0"/>
          <w:i w:val="0"/>
          <w:caps w:val="0"/>
          <w:color w:val="auto"/>
          <w:spacing w:val="0"/>
          <w:sz w:val="24"/>
          <w:szCs w:val="24"/>
          <w:u w:val="none"/>
          <w:lang w:val="en-US" w:eastAsia="zh-CN"/>
        </w:rPr>
        <w:t>7、</w:t>
      </w:r>
      <w:r>
        <w:rPr>
          <w:rFonts w:hint="eastAsia" w:ascii="宋体" w:hAnsi="宋体" w:eastAsia="宋体" w:cs="宋体"/>
          <w:b w:val="0"/>
          <w:bCs w:val="0"/>
          <w:i w:val="0"/>
          <w:caps w:val="0"/>
          <w:color w:val="auto"/>
          <w:spacing w:val="0"/>
          <w:sz w:val="24"/>
          <w:szCs w:val="24"/>
          <w:u w:val="none"/>
        </w:rPr>
        <w:t>自动计算离心力RCF值，转速、离心力可以相互一键切换。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120" w:right="0" w:hanging="120"/>
        <w:jc w:val="both"/>
        <w:rPr>
          <w:rFonts w:hint="eastAsia" w:ascii="宋体" w:hAnsi="宋体" w:eastAsia="宋体" w:cs="宋体"/>
          <w:b w:val="0"/>
          <w:bCs w:val="0"/>
          <w:i w:val="0"/>
          <w:color w:val="auto"/>
          <w:sz w:val="24"/>
          <w:szCs w:val="24"/>
          <w:u w:val="none"/>
        </w:rPr>
      </w:pPr>
      <w:r>
        <w:rPr>
          <w:rFonts w:hint="eastAsia" w:cs="宋体"/>
          <w:b w:val="0"/>
          <w:bCs w:val="0"/>
          <w:i w:val="0"/>
          <w:caps w:val="0"/>
          <w:color w:val="auto"/>
          <w:spacing w:val="0"/>
          <w:sz w:val="24"/>
          <w:szCs w:val="24"/>
          <w:u w:val="none"/>
          <w:lang w:val="en-US" w:eastAsia="zh-CN"/>
        </w:rPr>
        <w:t>8、≥9</w:t>
      </w:r>
      <w:r>
        <w:rPr>
          <w:rFonts w:hint="eastAsia" w:ascii="宋体" w:hAnsi="宋体" w:eastAsia="宋体" w:cs="宋体"/>
          <w:b w:val="0"/>
          <w:bCs w:val="0"/>
          <w:i w:val="0"/>
          <w:caps w:val="0"/>
          <w:color w:val="auto"/>
          <w:spacing w:val="0"/>
          <w:sz w:val="24"/>
          <w:szCs w:val="24"/>
          <w:u w:val="none"/>
        </w:rPr>
        <w:t xml:space="preserve">档加、减速控制， </w:t>
      </w:r>
      <w:r>
        <w:rPr>
          <w:rFonts w:hint="eastAsia" w:cs="宋体"/>
          <w:b w:val="0"/>
          <w:bCs w:val="0"/>
          <w:i w:val="0"/>
          <w:caps w:val="0"/>
          <w:color w:val="auto"/>
          <w:spacing w:val="0"/>
          <w:sz w:val="24"/>
          <w:szCs w:val="24"/>
          <w:u w:val="none"/>
          <w:lang w:val="en-US" w:eastAsia="zh-CN"/>
        </w:rPr>
        <w:t>其中一档位可</w:t>
      </w:r>
      <w:r>
        <w:rPr>
          <w:rFonts w:hint="eastAsia" w:ascii="宋体" w:hAnsi="宋体" w:eastAsia="宋体" w:cs="宋体"/>
          <w:b w:val="0"/>
          <w:bCs w:val="0"/>
          <w:i w:val="0"/>
          <w:caps w:val="0"/>
          <w:color w:val="auto"/>
          <w:spacing w:val="0"/>
          <w:sz w:val="24"/>
          <w:szCs w:val="24"/>
          <w:u w:val="none"/>
        </w:rPr>
        <w:t>自由停车时间达540s以上,满足特殊分离品使用要求。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120" w:right="0" w:hanging="120"/>
        <w:jc w:val="both"/>
        <w:rPr>
          <w:rFonts w:hint="eastAsia" w:ascii="宋体" w:hAnsi="宋体" w:eastAsia="宋体" w:cs="宋体"/>
          <w:b w:val="0"/>
          <w:bCs w:val="0"/>
          <w:i w:val="0"/>
          <w:color w:val="auto"/>
          <w:sz w:val="24"/>
          <w:szCs w:val="24"/>
          <w:u w:val="none"/>
        </w:rPr>
      </w:pPr>
      <w:r>
        <w:rPr>
          <w:rFonts w:hint="eastAsia" w:cs="宋体"/>
          <w:b w:val="0"/>
          <w:bCs w:val="0"/>
          <w:i w:val="0"/>
          <w:caps w:val="0"/>
          <w:color w:val="auto"/>
          <w:spacing w:val="0"/>
          <w:sz w:val="24"/>
          <w:szCs w:val="24"/>
          <w:u w:val="none"/>
          <w:lang w:val="en-US" w:eastAsia="zh-CN"/>
        </w:rPr>
        <w:t>9、</w:t>
      </w:r>
      <w:r>
        <w:rPr>
          <w:rFonts w:hint="eastAsia" w:ascii="宋体" w:hAnsi="宋体" w:eastAsia="宋体" w:cs="宋体"/>
          <w:b w:val="0"/>
          <w:bCs w:val="0"/>
          <w:i w:val="0"/>
          <w:caps w:val="0"/>
          <w:color w:val="auto"/>
          <w:spacing w:val="0"/>
          <w:sz w:val="24"/>
          <w:szCs w:val="24"/>
          <w:u w:val="none"/>
        </w:rPr>
        <w:t>采用电子门锁，增强安全性。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120" w:right="0" w:hanging="120"/>
        <w:jc w:val="both"/>
        <w:rPr>
          <w:rFonts w:hint="eastAsia" w:ascii="宋体" w:hAnsi="宋体" w:eastAsia="宋体" w:cs="宋体"/>
          <w:b w:val="0"/>
          <w:bCs w:val="0"/>
          <w:i w:val="0"/>
          <w:color w:val="auto"/>
          <w:sz w:val="24"/>
          <w:szCs w:val="24"/>
          <w:u w:val="none"/>
        </w:rPr>
      </w:pPr>
      <w:r>
        <w:rPr>
          <w:rFonts w:hint="eastAsia" w:cs="宋体"/>
          <w:b w:val="0"/>
          <w:bCs w:val="0"/>
          <w:i w:val="0"/>
          <w:caps w:val="0"/>
          <w:color w:val="auto"/>
          <w:spacing w:val="0"/>
          <w:sz w:val="24"/>
          <w:szCs w:val="24"/>
          <w:u w:val="none"/>
          <w:lang w:val="en-US" w:eastAsia="zh-CN"/>
        </w:rPr>
        <w:t>10、</w:t>
      </w:r>
      <w:r>
        <w:rPr>
          <w:rFonts w:hint="eastAsia" w:ascii="宋体" w:hAnsi="宋体" w:eastAsia="宋体" w:cs="宋体"/>
          <w:b w:val="0"/>
          <w:bCs w:val="0"/>
          <w:i w:val="0"/>
          <w:caps w:val="0"/>
          <w:color w:val="auto"/>
          <w:spacing w:val="0"/>
          <w:sz w:val="24"/>
          <w:szCs w:val="24"/>
          <w:u w:val="none"/>
        </w:rPr>
        <w:t>高能效环保制冷系统，</w:t>
      </w:r>
      <w:r>
        <w:rPr>
          <w:rFonts w:hint="eastAsia" w:ascii="宋体" w:hAnsi="宋体" w:eastAsia="宋体" w:cs="宋体"/>
          <w:b w:val="0"/>
          <w:bCs w:val="0"/>
          <w:i w:val="0"/>
          <w:caps w:val="0"/>
          <w:color w:val="auto"/>
          <w:spacing w:val="0"/>
          <w:sz w:val="24"/>
          <w:szCs w:val="24"/>
          <w:u w:val="none"/>
          <w:lang w:val="en-US" w:eastAsia="zh-CN"/>
        </w:rPr>
        <w:t>上限</w:t>
      </w:r>
      <w:r>
        <w:rPr>
          <w:rFonts w:hint="eastAsia" w:ascii="宋体" w:hAnsi="宋体" w:eastAsia="宋体" w:cs="宋体"/>
          <w:b w:val="0"/>
          <w:bCs w:val="0"/>
          <w:i w:val="0"/>
          <w:caps w:val="0"/>
          <w:color w:val="auto"/>
          <w:spacing w:val="0"/>
          <w:sz w:val="24"/>
          <w:szCs w:val="24"/>
          <w:u w:val="none"/>
        </w:rPr>
        <w:t>转速可保持-4℃以下。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120" w:right="0" w:hanging="120"/>
        <w:jc w:val="both"/>
        <w:rPr>
          <w:rFonts w:hint="eastAsia" w:ascii="宋体" w:hAnsi="宋体" w:eastAsia="宋体" w:cs="宋体"/>
          <w:b w:val="0"/>
          <w:bCs w:val="0"/>
          <w:i w:val="0"/>
          <w:caps w:val="0"/>
          <w:color w:val="auto"/>
          <w:spacing w:val="0"/>
          <w:sz w:val="24"/>
          <w:szCs w:val="24"/>
          <w:u w:val="none"/>
        </w:rPr>
      </w:pPr>
      <w:r>
        <w:rPr>
          <w:rFonts w:hint="eastAsia" w:cs="宋体"/>
          <w:b w:val="0"/>
          <w:bCs w:val="0"/>
          <w:i w:val="0"/>
          <w:caps w:val="0"/>
          <w:color w:val="auto"/>
          <w:spacing w:val="0"/>
          <w:sz w:val="24"/>
          <w:szCs w:val="24"/>
          <w:u w:val="none"/>
          <w:lang w:val="en-US" w:eastAsia="zh-CN"/>
        </w:rPr>
        <w:t>11、</w:t>
      </w:r>
      <w:r>
        <w:rPr>
          <w:rFonts w:hint="eastAsia" w:ascii="宋体" w:hAnsi="宋体" w:eastAsia="宋体" w:cs="宋体"/>
          <w:b w:val="0"/>
          <w:bCs w:val="0"/>
          <w:i w:val="0"/>
          <w:caps w:val="0"/>
          <w:color w:val="auto"/>
          <w:spacing w:val="0"/>
          <w:sz w:val="24"/>
          <w:szCs w:val="24"/>
          <w:u w:val="none"/>
        </w:rPr>
        <w:t>具备一键预冷功能，冷冻离心更方便。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ascii="宋体" w:hAnsi="宋体" w:eastAsia="宋体" w:cs="宋体"/>
          <w:b w:val="0"/>
          <w:bCs w:val="0"/>
          <w:i w:val="0"/>
          <w:iCs w:val="0"/>
          <w:color w:val="auto"/>
          <w:kern w:val="0"/>
          <w:sz w:val="24"/>
          <w:szCs w:val="24"/>
          <w:u w:val="none"/>
          <w:lang w:val="en-US" w:eastAsia="zh-CN" w:bidi="ar"/>
        </w:rPr>
      </w:pPr>
      <w:r>
        <w:rPr>
          <w:rFonts w:hint="eastAsia" w:cs="宋体"/>
          <w:b w:val="0"/>
          <w:bCs w:val="0"/>
          <w:i w:val="0"/>
          <w:caps w:val="0"/>
          <w:color w:val="auto"/>
          <w:spacing w:val="0"/>
          <w:sz w:val="24"/>
          <w:szCs w:val="24"/>
          <w:u w:val="none"/>
          <w:lang w:val="en-US" w:eastAsia="zh-CN"/>
        </w:rPr>
        <w:t>12</w:t>
      </w:r>
      <w:r>
        <w:rPr>
          <w:rFonts w:hint="eastAsia" w:cs="宋体"/>
          <w:b w:val="0"/>
          <w:bCs w:val="0"/>
          <w:i w:val="0"/>
          <w:caps w:val="0"/>
          <w:color w:val="auto"/>
          <w:spacing w:val="0"/>
          <w:sz w:val="24"/>
          <w:szCs w:val="24"/>
          <w:u w:val="none"/>
          <w:lang w:eastAsia="zh-CN"/>
        </w:rPr>
        <w:t>、</w:t>
      </w:r>
      <w:r>
        <w:rPr>
          <w:rFonts w:hint="eastAsia" w:ascii="宋体" w:hAnsi="宋体" w:eastAsia="宋体" w:cs="宋体"/>
          <w:b w:val="0"/>
          <w:bCs w:val="0"/>
          <w:i w:val="0"/>
          <w:iCs w:val="0"/>
          <w:color w:val="auto"/>
          <w:kern w:val="0"/>
          <w:sz w:val="24"/>
          <w:szCs w:val="24"/>
          <w:u w:val="none"/>
          <w:lang w:val="en-US" w:eastAsia="zh-CN" w:bidi="ar"/>
        </w:rPr>
        <w:t>定时范围</w:t>
      </w:r>
      <w:r>
        <w:rPr>
          <w:rFonts w:hint="eastAsia"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1min～99min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ascii="宋体" w:hAnsi="宋体" w:eastAsia="宋体" w:cs="宋体"/>
          <w:b w:val="0"/>
          <w:bCs w:val="0"/>
          <w:i w:val="0"/>
          <w:iCs w:val="0"/>
          <w:color w:val="auto"/>
          <w:kern w:val="0"/>
          <w:sz w:val="24"/>
          <w:szCs w:val="24"/>
          <w:u w:val="none"/>
          <w:lang w:val="en-US" w:eastAsia="zh-CN" w:bidi="ar"/>
        </w:rPr>
      </w:pPr>
      <w:r>
        <w:rPr>
          <w:rFonts w:hint="eastAsia" w:cs="宋体"/>
          <w:b w:val="0"/>
          <w:bCs w:val="0"/>
          <w:i w:val="0"/>
          <w:iCs w:val="0"/>
          <w:color w:val="auto"/>
          <w:kern w:val="0"/>
          <w:sz w:val="24"/>
          <w:szCs w:val="24"/>
          <w:u w:val="none"/>
          <w:lang w:val="en-US" w:eastAsia="zh-CN" w:bidi="ar"/>
        </w:rPr>
        <w:t>13、</w:t>
      </w:r>
      <w:r>
        <w:rPr>
          <w:rFonts w:hint="eastAsia" w:ascii="宋体" w:hAnsi="宋体" w:eastAsia="宋体" w:cs="宋体"/>
          <w:b w:val="0"/>
          <w:bCs w:val="0"/>
          <w:i w:val="0"/>
          <w:iCs w:val="0"/>
          <w:color w:val="auto"/>
          <w:kern w:val="0"/>
          <w:sz w:val="24"/>
          <w:szCs w:val="24"/>
          <w:u w:val="none"/>
          <w:lang w:val="en-US" w:eastAsia="zh-CN" w:bidi="ar"/>
        </w:rPr>
        <w:t>离心腔直径</w:t>
      </w:r>
      <w:r>
        <w:rPr>
          <w:rFonts w:hint="eastAsia"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Φ250mm</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ascii="宋体" w:hAnsi="宋体" w:eastAsia="宋体" w:cs="宋体"/>
          <w:b w:val="0"/>
          <w:bCs w:val="0"/>
          <w:i w:val="0"/>
          <w:iCs w:val="0"/>
          <w:color w:val="auto"/>
          <w:kern w:val="0"/>
          <w:sz w:val="24"/>
          <w:szCs w:val="24"/>
          <w:u w:val="none"/>
          <w:lang w:val="en-US" w:eastAsia="zh-CN" w:bidi="ar"/>
        </w:rPr>
      </w:pPr>
      <w:r>
        <w:rPr>
          <w:rFonts w:hint="eastAsia" w:cs="宋体"/>
          <w:b w:val="0"/>
          <w:bCs w:val="0"/>
          <w:i w:val="0"/>
          <w:iCs w:val="0"/>
          <w:color w:val="auto"/>
          <w:kern w:val="0"/>
          <w:sz w:val="24"/>
          <w:szCs w:val="24"/>
          <w:u w:val="none"/>
          <w:lang w:val="en-US" w:eastAsia="zh-CN" w:bidi="ar"/>
        </w:rPr>
        <w:t>14、</w:t>
      </w:r>
      <w:r>
        <w:rPr>
          <w:rFonts w:hint="eastAsia" w:ascii="宋体" w:hAnsi="宋体" w:eastAsia="宋体" w:cs="宋体"/>
          <w:b w:val="0"/>
          <w:bCs w:val="0"/>
          <w:i w:val="0"/>
          <w:iCs w:val="0"/>
          <w:color w:val="auto"/>
          <w:kern w:val="0"/>
          <w:sz w:val="24"/>
          <w:szCs w:val="24"/>
          <w:u w:val="none"/>
          <w:lang w:val="en-US" w:eastAsia="zh-CN" w:bidi="ar"/>
        </w:rPr>
        <w:t>转速精度</w:t>
      </w:r>
      <w:r>
        <w:rPr>
          <w:rFonts w:hint="eastAsia"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±10r/min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default" w:ascii="宋体" w:hAnsi="宋体" w:eastAsia="宋体" w:cs="宋体"/>
          <w:b w:val="0"/>
          <w:bCs w:val="0"/>
          <w:i w:val="0"/>
          <w:iCs w:val="0"/>
          <w:color w:val="auto"/>
          <w:kern w:val="0"/>
          <w:sz w:val="24"/>
          <w:szCs w:val="24"/>
          <w:u w:val="none"/>
          <w:lang w:val="en-US" w:eastAsia="zh-CN" w:bidi="ar"/>
        </w:rPr>
      </w:pPr>
      <w:r>
        <w:rPr>
          <w:rFonts w:hint="eastAsia" w:cs="宋体"/>
          <w:b w:val="0"/>
          <w:bCs w:val="0"/>
          <w:i w:val="0"/>
          <w:iCs w:val="0"/>
          <w:color w:val="auto"/>
          <w:kern w:val="0"/>
          <w:sz w:val="24"/>
          <w:szCs w:val="24"/>
          <w:u w:val="none"/>
          <w:lang w:val="en-US" w:eastAsia="zh-CN" w:bidi="ar"/>
        </w:rPr>
        <w:t>15、</w:t>
      </w:r>
      <w:r>
        <w:rPr>
          <w:rFonts w:hint="eastAsia" w:ascii="宋体" w:hAnsi="宋体" w:eastAsia="宋体" w:cs="宋体"/>
          <w:b w:val="0"/>
          <w:bCs w:val="0"/>
          <w:i w:val="0"/>
          <w:iCs w:val="0"/>
          <w:color w:val="auto"/>
          <w:kern w:val="0"/>
          <w:sz w:val="24"/>
          <w:szCs w:val="24"/>
          <w:u w:val="none"/>
          <w:lang w:val="en-US" w:eastAsia="zh-CN" w:bidi="ar"/>
        </w:rPr>
        <w:t>温度设置范围</w:t>
      </w:r>
      <w:r>
        <w:rPr>
          <w:rFonts w:hint="eastAsia"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-20℃～40℃</w:t>
      </w:r>
      <w:r>
        <w:rPr>
          <w:rFonts w:hint="eastAsia"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温度精度±1.0℃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ascii="宋体" w:hAnsi="宋体" w:eastAsia="宋体" w:cs="宋体"/>
          <w:b w:val="0"/>
          <w:bCs w:val="0"/>
          <w:i w:val="0"/>
          <w:iCs w:val="0"/>
          <w:color w:val="auto"/>
          <w:kern w:val="0"/>
          <w:sz w:val="24"/>
          <w:szCs w:val="24"/>
          <w:u w:val="none"/>
          <w:lang w:val="en-US" w:eastAsia="zh-CN" w:bidi="ar"/>
        </w:rPr>
      </w:pPr>
      <w:r>
        <w:rPr>
          <w:rFonts w:hint="eastAsia" w:cs="宋体"/>
          <w:b w:val="0"/>
          <w:bCs w:val="0"/>
          <w:i w:val="0"/>
          <w:caps w:val="0"/>
          <w:color w:val="auto"/>
          <w:spacing w:val="0"/>
          <w:sz w:val="24"/>
          <w:szCs w:val="24"/>
          <w:u w:val="none"/>
          <w:lang w:val="en-US" w:eastAsia="zh-CN"/>
        </w:rPr>
        <w:t>16、角</w:t>
      </w:r>
      <w:r>
        <w:rPr>
          <w:rFonts w:hint="eastAsia" w:ascii="宋体" w:hAnsi="宋体" w:eastAsia="宋体" w:cs="宋体"/>
          <w:b w:val="0"/>
          <w:bCs w:val="0"/>
          <w:i w:val="0"/>
          <w:caps w:val="0"/>
          <w:color w:val="auto"/>
          <w:spacing w:val="0"/>
          <w:sz w:val="24"/>
          <w:szCs w:val="24"/>
          <w:u w:val="none"/>
        </w:rPr>
        <w:t>转子参数：</w:t>
      </w:r>
      <w:r>
        <w:rPr>
          <w:rFonts w:hint="eastAsia" w:ascii="宋体" w:hAnsi="宋体" w:eastAsia="宋体" w:cs="宋体"/>
          <w:b w:val="0"/>
          <w:bCs w:val="0"/>
          <w:i w:val="0"/>
          <w:iCs w:val="0"/>
          <w:color w:val="auto"/>
          <w:kern w:val="0"/>
          <w:sz w:val="24"/>
          <w:szCs w:val="24"/>
          <w:u w:val="none"/>
          <w:lang w:val="en-US" w:eastAsia="zh-CN" w:bidi="ar"/>
        </w:rPr>
        <w:t>容量12×10ml</w:t>
      </w:r>
      <w:r>
        <w:rPr>
          <w:rFonts w:hint="eastAsia"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最高转速 （r/min)12000rpm</w:t>
      </w:r>
      <w:r>
        <w:rPr>
          <w:rFonts w:hint="eastAsia"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最大相对离心力(×14800×gg)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cs="宋体"/>
          <w:b w:val="0"/>
          <w:bCs w:val="0"/>
          <w:i w:val="0"/>
          <w:iCs w:val="0"/>
          <w:color w:val="auto"/>
          <w:kern w:val="0"/>
          <w:sz w:val="24"/>
          <w:szCs w:val="24"/>
          <w:u w:val="none"/>
          <w:lang w:val="en-US" w:eastAsia="zh-CN" w:bidi="ar"/>
        </w:rPr>
      </w:pPr>
      <w:r>
        <w:rPr>
          <w:rFonts w:hint="eastAsia" w:cs="宋体"/>
          <w:b w:val="0"/>
          <w:bCs w:val="0"/>
          <w:i w:val="0"/>
          <w:iCs w:val="0"/>
          <w:color w:val="auto"/>
          <w:kern w:val="0"/>
          <w:sz w:val="24"/>
          <w:szCs w:val="24"/>
          <w:u w:val="none"/>
          <w:lang w:val="en-US" w:eastAsia="zh-CN" w:bidi="ar"/>
        </w:rPr>
        <w:t>17、具有医疗器械相关注册或备案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ascii="宋体" w:hAnsi="宋体" w:eastAsia="宋体" w:cs="宋体"/>
          <w:b/>
          <w:bCs/>
          <w:i w:val="0"/>
          <w:iCs w:val="0"/>
          <w:color w:val="auto"/>
          <w:kern w:val="0"/>
          <w:sz w:val="28"/>
          <w:szCs w:val="28"/>
          <w:u w:val="none"/>
          <w:lang w:val="en-US" w:eastAsia="zh-CN" w:bidi="ar"/>
        </w:rPr>
      </w:pPr>
      <w:r>
        <w:rPr>
          <w:rFonts w:hint="eastAsia" w:cs="宋体"/>
          <w:b/>
          <w:bCs/>
          <w:i w:val="0"/>
          <w:iCs w:val="0"/>
          <w:color w:val="auto"/>
          <w:kern w:val="0"/>
          <w:sz w:val="28"/>
          <w:szCs w:val="28"/>
          <w:u w:val="none"/>
          <w:lang w:val="en-US" w:eastAsia="zh-CN" w:bidi="ar"/>
        </w:rPr>
        <w:t>二、</w:t>
      </w:r>
      <w:r>
        <w:rPr>
          <w:rFonts w:hint="eastAsia" w:ascii="宋体" w:hAnsi="宋体" w:eastAsia="宋体" w:cs="宋体"/>
          <w:b/>
          <w:bCs/>
          <w:i w:val="0"/>
          <w:iCs w:val="0"/>
          <w:color w:val="auto"/>
          <w:kern w:val="0"/>
          <w:sz w:val="28"/>
          <w:szCs w:val="28"/>
          <w:u w:val="none"/>
          <w:lang w:val="en-US" w:eastAsia="zh-CN" w:bidi="ar"/>
        </w:rPr>
        <w:t>医用红外体温计</w:t>
      </w:r>
      <w:r>
        <w:rPr>
          <w:rFonts w:hint="eastAsia" w:ascii="微软雅黑" w:hAnsi="微软雅黑"/>
          <w:b/>
          <w:color w:val="3D3D3D"/>
          <w:sz w:val="21"/>
          <w:szCs w:val="21"/>
          <w:lang w:eastAsia="zh-CN"/>
        </w:rPr>
        <w:t>（</w:t>
      </w:r>
      <w:r>
        <w:rPr>
          <w:rFonts w:hint="eastAsia" w:ascii="微软雅黑" w:hAnsi="微软雅黑"/>
          <w:b/>
          <w:color w:val="3D3D3D"/>
          <w:sz w:val="21"/>
          <w:szCs w:val="21"/>
          <w:lang w:val="en-US" w:eastAsia="zh-CN"/>
        </w:rPr>
        <w:t>不强制要求提供厂家授权文件</w:t>
      </w:r>
      <w:r>
        <w:rPr>
          <w:rFonts w:hint="eastAsia" w:ascii="微软雅黑" w:hAnsi="微软雅黑"/>
          <w:b/>
          <w:color w:val="3D3D3D"/>
          <w:sz w:val="21"/>
          <w:szCs w:val="21"/>
          <w:lang w:eastAsia="zh-CN"/>
        </w:rPr>
        <w:t>）</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1、红外1秒速测，非接触式，避免交叉感染</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2、测温常用位置：额头</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3、液晶显示，具有高温警示功能</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4、能够满足疫情期间大批量人员体温连续检测，适用位置：预检分诊、导诊、病房、门诊</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5、准确度：32℃-34.9℃，最大允许误差±0.3℃；</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           35℃-42.0℃，最大允许误差±0.2℃；</w:t>
      </w:r>
    </w:p>
    <w:p>
      <w:pPr>
        <w:ind w:firstLine="1320" w:firstLineChars="550"/>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42.1℃-42.9℃，最大允许误差±0.3℃；</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6、60秒无操作可自动关机</w:t>
      </w:r>
    </w:p>
    <w:p>
      <w:pPr>
        <w:numPr>
          <w:ilvl w:val="0"/>
          <w:numId w:val="1"/>
        </w:num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具有电量显示功能，使用5号或7号电池供电</w:t>
      </w:r>
    </w:p>
    <w:p>
      <w:pPr>
        <w:numPr>
          <w:ilvl w:val="0"/>
          <w:numId w:val="0"/>
        </w:numP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8、提供产品彩页</w:t>
      </w:r>
    </w:p>
    <w:p>
      <w:pPr>
        <w:numPr>
          <w:ilvl w:val="0"/>
          <w:numId w:val="2"/>
        </w:numPr>
        <w:rPr>
          <w:rFonts w:hint="default" w:cs="宋体" w:asciiTheme="minorEastAsia" w:hAnsiTheme="minorEastAsia"/>
          <w:b/>
          <w:bCs/>
          <w:color w:val="333333"/>
          <w:kern w:val="0"/>
          <w:sz w:val="28"/>
          <w:szCs w:val="28"/>
          <w:lang w:val="en-US" w:eastAsia="zh-CN"/>
        </w:rPr>
      </w:pPr>
      <w:r>
        <w:rPr>
          <w:rFonts w:hint="eastAsia" w:cs="宋体" w:asciiTheme="minorEastAsia" w:hAnsiTheme="minorEastAsia"/>
          <w:b/>
          <w:bCs/>
          <w:color w:val="333333"/>
          <w:kern w:val="0"/>
          <w:sz w:val="28"/>
          <w:szCs w:val="28"/>
          <w:lang w:val="en-US" w:eastAsia="zh-CN"/>
        </w:rPr>
        <w:t>单孔无影灯</w:t>
      </w:r>
      <w:r>
        <w:rPr>
          <w:rFonts w:hint="eastAsia" w:ascii="微软雅黑" w:hAnsi="微软雅黑"/>
          <w:b/>
          <w:color w:val="3D3D3D"/>
          <w:sz w:val="21"/>
          <w:szCs w:val="21"/>
          <w:lang w:eastAsia="zh-CN"/>
        </w:rPr>
        <w:t>（</w:t>
      </w:r>
      <w:r>
        <w:rPr>
          <w:rFonts w:hint="eastAsia" w:ascii="微软雅黑" w:hAnsi="微软雅黑"/>
          <w:b/>
          <w:color w:val="3D3D3D"/>
          <w:sz w:val="21"/>
          <w:szCs w:val="21"/>
          <w:lang w:val="en-US" w:eastAsia="zh-CN"/>
        </w:rPr>
        <w:t>不强制要求提供厂家授权文件</w:t>
      </w:r>
      <w:r>
        <w:rPr>
          <w:rFonts w:hint="eastAsia" w:ascii="微软雅黑" w:hAnsi="微软雅黑"/>
          <w:b/>
          <w:color w:val="3D3D3D"/>
          <w:sz w:val="21"/>
          <w:szCs w:val="21"/>
          <w:lang w:eastAsia="zh-CN"/>
        </w:rPr>
        <w:t>）</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1、中心照度宽于（包含）60000-140000   </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2、色温宽于（包含）4200K±500K</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3、光斑直径宽于（包含）160-280mm   </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4、照明深度：≥800mm    </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5、术者头部温升：≤2℃   </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6、电源电压：市电 </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7、输入功率大于（包含）200W  </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8、灯泡：24V </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9、有可转动以调节照射角度的功能</w:t>
      </w:r>
    </w:p>
    <w:p>
      <w:pPr>
        <w:rPr>
          <w:rFonts w:hint="eastAsia" w:ascii="宋体" w:hAnsi="宋体" w:eastAsia="宋体" w:cs="宋体"/>
          <w:b w:val="0"/>
          <w:bCs w:val="0"/>
          <w:i w:val="0"/>
          <w:iCs w:val="0"/>
          <w:color w:val="auto"/>
          <w:kern w:val="0"/>
          <w:sz w:val="24"/>
          <w:szCs w:val="24"/>
          <w:u w:val="none"/>
          <w:lang w:val="en-US" w:eastAsia="zh-CN" w:bidi="ar"/>
        </w:rPr>
      </w:pPr>
    </w:p>
    <w:p>
      <w:pPr>
        <w:pStyle w:val="7"/>
        <w:shd w:val="clear" w:color="auto" w:fill="FFFFFF"/>
        <w:spacing w:before="0" w:beforeAutospacing="0" w:after="0" w:afterAutospacing="0"/>
        <w:jc w:val="both"/>
        <w:rPr>
          <w:rFonts w:hint="eastAsia" w:ascii="微软雅黑" w:hAnsi="微软雅黑" w:eastAsia="宋体"/>
          <w:b/>
          <w:color w:val="3D3D3D"/>
          <w:sz w:val="28"/>
          <w:szCs w:val="28"/>
          <w:lang w:eastAsia="zh-CN"/>
        </w:rPr>
      </w:pPr>
      <w:r>
        <w:rPr>
          <w:rFonts w:hint="eastAsia" w:ascii="宋体" w:hAnsi="宋体" w:eastAsia="宋体" w:cs="宋体"/>
          <w:b w:val="0"/>
          <w:bCs w:val="0"/>
          <w:i w:val="0"/>
          <w:iCs w:val="0"/>
          <w:color w:val="auto"/>
          <w:kern w:val="0"/>
          <w:sz w:val="24"/>
          <w:szCs w:val="24"/>
          <w:u w:val="none"/>
          <w:lang w:val="en-US" w:eastAsia="zh-CN" w:bidi="ar"/>
        </w:rPr>
        <w:t>四、</w:t>
      </w:r>
      <w:r>
        <w:rPr>
          <w:rFonts w:hint="eastAsia" w:ascii="微软雅黑" w:hAnsi="微软雅黑"/>
          <w:b/>
          <w:color w:val="3D3D3D"/>
          <w:sz w:val="28"/>
          <w:szCs w:val="28"/>
          <w:lang w:val="en-US" w:eastAsia="zh-CN"/>
        </w:rPr>
        <w:t>气管插管</w:t>
      </w:r>
      <w:r>
        <w:rPr>
          <w:rFonts w:hint="eastAsia" w:ascii="微软雅黑" w:hAnsi="微软雅黑"/>
          <w:b/>
          <w:color w:val="3D3D3D"/>
          <w:sz w:val="28"/>
          <w:szCs w:val="28"/>
        </w:rPr>
        <w:t>喉镜</w:t>
      </w:r>
      <w:r>
        <w:rPr>
          <w:rFonts w:hint="eastAsia" w:ascii="微软雅黑" w:hAnsi="微软雅黑"/>
          <w:b/>
          <w:color w:val="3D3D3D"/>
          <w:sz w:val="21"/>
          <w:szCs w:val="21"/>
          <w:lang w:eastAsia="zh-CN"/>
        </w:rPr>
        <w:t>（</w:t>
      </w:r>
      <w:r>
        <w:rPr>
          <w:rFonts w:hint="eastAsia" w:ascii="微软雅黑" w:hAnsi="微软雅黑"/>
          <w:b/>
          <w:color w:val="3D3D3D"/>
          <w:sz w:val="21"/>
          <w:szCs w:val="21"/>
          <w:lang w:val="en-US" w:eastAsia="zh-CN"/>
        </w:rPr>
        <w:t>不强制要求提供厂家授权文件</w:t>
      </w:r>
      <w:r>
        <w:rPr>
          <w:rFonts w:hint="eastAsia" w:ascii="微软雅黑" w:hAnsi="微软雅黑"/>
          <w:b/>
          <w:color w:val="3D3D3D"/>
          <w:sz w:val="21"/>
          <w:szCs w:val="21"/>
          <w:lang w:eastAsia="zh-CN"/>
        </w:rPr>
        <w:t>）</w:t>
      </w:r>
    </w:p>
    <w:p>
      <w:r>
        <w:rPr>
          <w:rFonts w:hint="eastAsia"/>
        </w:rPr>
        <w:t>1、</w:t>
      </w:r>
      <w:r>
        <w:t>用途：供插入咽喉施行麻醉手术或抢救窒息用。</w:t>
      </w:r>
    </w:p>
    <w:p>
      <w:pPr>
        <w:rPr>
          <w:rFonts w:hint="eastAsia"/>
        </w:rPr>
      </w:pPr>
      <w:r>
        <w:rPr>
          <w:rFonts w:hint="eastAsia"/>
        </w:rPr>
        <w:t>2、直70插口喉镜一套</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vertAlign w:val="baseline"/>
              </w:rPr>
            </w:pPr>
            <w:r>
              <w:drawing>
                <wp:inline distT="0" distB="0" distL="0" distR="0">
                  <wp:extent cx="1628775" cy="7810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srcRect/>
                          <a:stretch>
                            <a:fillRect/>
                          </a:stretch>
                        </pic:blipFill>
                        <pic:spPr>
                          <a:xfrm>
                            <a:off x="0" y="0"/>
                            <a:ext cx="1628775" cy="781050"/>
                          </a:xfrm>
                          <a:prstGeom prst="rect">
                            <a:avLst/>
                          </a:prstGeom>
                          <a:noFill/>
                          <a:ln w="9525">
                            <a:noFill/>
                            <a:miter lim="800000"/>
                            <a:headEnd/>
                            <a:tailEnd/>
                          </a:ln>
                        </pic:spPr>
                      </pic:pic>
                    </a:graphicData>
                  </a:graphic>
                </wp:inline>
              </w:drawing>
            </w:r>
          </w:p>
        </w:tc>
        <w:tc>
          <w:tcPr>
            <w:tcW w:w="4261" w:type="dxa"/>
          </w:tcPr>
          <w:p>
            <w:pPr>
              <w:rPr>
                <w:rFonts w:hint="eastAsia"/>
                <w:vertAlign w:val="baseline"/>
              </w:rPr>
            </w:pPr>
            <w:r>
              <w:drawing>
                <wp:inline distT="0" distB="0" distL="0" distR="0">
                  <wp:extent cx="1047750" cy="2400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srcRect/>
                          <a:stretch>
                            <a:fillRect/>
                          </a:stretch>
                        </pic:blipFill>
                        <pic:spPr>
                          <a:xfrm>
                            <a:off x="0" y="0"/>
                            <a:ext cx="1047750" cy="2400300"/>
                          </a:xfrm>
                          <a:prstGeom prst="rect">
                            <a:avLst/>
                          </a:prstGeom>
                          <a:noFill/>
                          <a:ln w="9525">
                            <a:noFill/>
                            <a:miter lim="800000"/>
                            <a:headEnd/>
                            <a:tailEnd/>
                          </a:ln>
                        </pic:spPr>
                      </pic:pic>
                    </a:graphicData>
                  </a:graphic>
                </wp:inline>
              </w:drawing>
            </w:r>
          </w:p>
        </w:tc>
      </w:tr>
    </w:tbl>
    <w:p>
      <w:pP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br w:type="textWrapp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F8B42"/>
    <w:multiLevelType w:val="singleLevel"/>
    <w:tmpl w:val="157F8B42"/>
    <w:lvl w:ilvl="0" w:tentative="0">
      <w:start w:val="7"/>
      <w:numFmt w:val="decimal"/>
      <w:suff w:val="nothing"/>
      <w:lvlText w:val="%1、"/>
      <w:lvlJc w:val="left"/>
    </w:lvl>
  </w:abstractNum>
  <w:abstractNum w:abstractNumId="1">
    <w:nsid w:val="2B94FAB3"/>
    <w:multiLevelType w:val="singleLevel"/>
    <w:tmpl w:val="2B94FAB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6E15F8D"/>
    <w:rsid w:val="0E305316"/>
    <w:rsid w:val="10BC5375"/>
    <w:rsid w:val="115D4462"/>
    <w:rsid w:val="133F6675"/>
    <w:rsid w:val="16014ED0"/>
    <w:rsid w:val="168B172E"/>
    <w:rsid w:val="16965B6A"/>
    <w:rsid w:val="16D231FD"/>
    <w:rsid w:val="1AED7F38"/>
    <w:rsid w:val="1BBA19E9"/>
    <w:rsid w:val="1FFE39A3"/>
    <w:rsid w:val="214E3B8E"/>
    <w:rsid w:val="21953366"/>
    <w:rsid w:val="259A1A1B"/>
    <w:rsid w:val="29194CBB"/>
    <w:rsid w:val="2C2E4AEB"/>
    <w:rsid w:val="3137185E"/>
    <w:rsid w:val="31FE2084"/>
    <w:rsid w:val="34CD49C4"/>
    <w:rsid w:val="362F38DD"/>
    <w:rsid w:val="389C57DF"/>
    <w:rsid w:val="3A95616C"/>
    <w:rsid w:val="3B9F3746"/>
    <w:rsid w:val="3F12422F"/>
    <w:rsid w:val="3FBB675E"/>
    <w:rsid w:val="44BE66EB"/>
    <w:rsid w:val="48BF2A31"/>
    <w:rsid w:val="49784602"/>
    <w:rsid w:val="4F8A0D62"/>
    <w:rsid w:val="520E387D"/>
    <w:rsid w:val="52BB1539"/>
    <w:rsid w:val="531C6FD2"/>
    <w:rsid w:val="661327BD"/>
    <w:rsid w:val="6A4B7D7B"/>
    <w:rsid w:val="6CF955A1"/>
    <w:rsid w:val="708F6957"/>
    <w:rsid w:val="709518B3"/>
    <w:rsid w:val="730438B3"/>
    <w:rsid w:val="7AB03FD0"/>
    <w:rsid w:val="7BDE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character" w:customStyle="1" w:styleId="15">
    <w:name w:val="标题 1 Char"/>
    <w:basedOn w:val="10"/>
    <w:link w:val="2"/>
    <w:qFormat/>
    <w:uiPriority w:val="0"/>
    <w:rPr>
      <w:rFonts w:ascii="宋体" w:hAnsi="宋体" w:eastAsia="宋体" w:cs="宋体"/>
      <w:b/>
      <w:bCs/>
      <w:kern w:val="36"/>
      <w:sz w:val="48"/>
      <w:szCs w:val="48"/>
    </w:rPr>
  </w:style>
  <w:style w:type="paragraph" w:customStyle="1" w:styleId="16">
    <w:name w:val="正文文本缩进1"/>
    <w:basedOn w:val="1"/>
    <w:qFormat/>
    <w:uiPriority w:val="0"/>
    <w:pPr>
      <w:spacing w:after="120"/>
      <w:ind w:left="420" w:leftChars="200"/>
    </w:pPr>
    <w:rPr>
      <w:rFonts w:ascii="Times New Roman" w:hAnsi="Times New Roman" w:eastAsia="宋体" w:cs="Times New Roman"/>
      <w:szCs w:val="2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1679</Words>
  <Characters>1809</Characters>
  <Lines>17</Lines>
  <Paragraphs>4</Paragraphs>
  <TotalTime>0</TotalTime>
  <ScaleCrop>false</ScaleCrop>
  <LinksUpToDate>false</LinksUpToDate>
  <CharactersWithSpaces>2207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没点穴的武侠不好看</cp:lastModifiedBy>
  <dcterms:modified xsi:type="dcterms:W3CDTF">2023-09-15T02:37:49Z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1413B03EE0AE46B583EF0D76811D13EE_13</vt:lpwstr>
  </property>
</Properties>
</file>