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附件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一、</w:t>
      </w: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fill="FFFFFF"/>
        </w:rPr>
        <w:t>第三方机构资质及服务要求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1、具备有效期内的《医疗机构执业许可证》及病理学相关检测、诊断资质，并按TBS分类系统出具诊断报告。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需提供复印件加盖公章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2</w:t>
      </w:r>
      <w:r>
        <w:rPr>
          <w:rFonts w:hint="eastAsia" w:ascii="仿宋" w:hAnsi="仿宋" w:eastAsia="仿宋" w:cs="仿宋"/>
          <w:sz w:val="32"/>
          <w:szCs w:val="32"/>
        </w:rPr>
        <w:t>、周一至周六每日上门取样一次；常规标本自样本接收后≤2个工作日出具正式诊断报告，加急标本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≤</w:t>
      </w:r>
      <w:r>
        <w:rPr>
          <w:rFonts w:hint="eastAsia" w:ascii="仿宋" w:hAnsi="仿宋" w:eastAsia="仿宋" w:cs="仿宋"/>
          <w:sz w:val="32"/>
          <w:szCs w:val="32"/>
        </w:rPr>
        <w:t>24小时出具报告；对异常、可疑结果提供免费复核。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3</w:t>
      </w:r>
      <w:r>
        <w:rPr>
          <w:rFonts w:hint="eastAsia" w:ascii="仿宋" w:hAnsi="仿宋" w:eastAsia="仿宋" w:cs="仿宋"/>
          <w:sz w:val="32"/>
          <w:szCs w:val="32"/>
        </w:rPr>
        <w:t>、负责提供标本采集配套耗材（保存液、采样刷），并具备应急取样、标本安全运输及全程物流保障能力。</w:t>
      </w:r>
    </w:p>
    <w:p>
      <w:pPr>
        <w:ind w:firstLine="320" w:firstLineChars="1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※4、报价时需提供项目整体服务实施方案，需包含实施规划、对接机制、服务流程等服务措施；上门收样/多次采样、全天候应急响应、转运规范等时效管控措施；</w:t>
      </w:r>
      <w:r>
        <w:rPr>
          <w:rFonts w:hint="eastAsia" w:ascii="仿宋" w:hAnsi="仿宋" w:eastAsia="仿宋" w:cs="仿宋"/>
          <w:sz w:val="32"/>
          <w:szCs w:val="32"/>
        </w:rPr>
        <w:t>提供完整液基薄层细胞学检测（TCT）标准操作流程及室内质控方案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。（共20页以内）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二、费用测算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检测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控制价</w:t>
      </w:r>
      <w:r>
        <w:rPr>
          <w:rFonts w:hint="eastAsia" w:ascii="仿宋" w:hAnsi="仿宋" w:eastAsia="仿宋" w:cs="仿宋"/>
          <w:sz w:val="32"/>
          <w:szCs w:val="32"/>
        </w:rPr>
        <w:t>为16元/例，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服务期限为一年，</w:t>
      </w:r>
      <w:r>
        <w:rPr>
          <w:rFonts w:hint="eastAsia" w:ascii="仿宋" w:hAnsi="仿宋" w:eastAsia="仿宋" w:cs="仿宋"/>
          <w:sz w:val="32"/>
          <w:szCs w:val="32"/>
        </w:rPr>
        <w:t>年度总费用估算约为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9万元。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三、付款方式</w:t>
      </w: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根据实际检测数量据实结算，有服务商开具普通发票，每2个月结算一次。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B86F3C"/>
    <w:rsid w:val="12364896"/>
    <w:rsid w:val="5CB86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Office_11.3.0.8775_F1E327BC-269C-435d-A152-05C5408002CA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2026-09-22T08:53:00Z</dcterms:created>
  <dc:creator>admin</dc:creator>
  <cp:lastModifiedBy>admin</cp:lastModifiedBy>
  <dcterms:modified xsi:type="dcterms:W3CDTF">2026-09-22T09:13:15Z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2052-11.3.0.8775</vt:lpwstr>
  </property>
</Properties>
</file>