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04091">
      <w:pPr>
        <w:rPr>
          <w:rFonts w:hint="eastAsia"/>
          <w:lang w:val="en-US" w:eastAsia="zh-CN"/>
        </w:rPr>
      </w:pPr>
      <w:r>
        <w:rPr>
          <w:rFonts w:hint="eastAsia"/>
          <w:lang w:val="en-US" w:eastAsia="zh-CN"/>
        </w:rPr>
        <w:t>附件：</w:t>
      </w:r>
    </w:p>
    <w:p w14:paraId="476A942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宋体" w:hAnsi="宋体" w:eastAsia="宋体" w:cs="宋体"/>
          <w:i w:val="0"/>
          <w:iCs w:val="0"/>
          <w:caps w:val="0"/>
          <w:color w:val="333333"/>
          <w:spacing w:val="0"/>
          <w:sz w:val="21"/>
          <w:szCs w:val="21"/>
          <w:lang w:val="en-US"/>
        </w:rPr>
      </w:pPr>
      <w:r>
        <w:rPr>
          <w:rFonts w:hint="eastAsia"/>
          <w:lang w:val="en-US" w:eastAsia="zh-CN"/>
        </w:rPr>
        <w:t>1、</w:t>
      </w:r>
      <w:r>
        <w:rPr>
          <w:rFonts w:hint="eastAsia" w:ascii="宋体" w:hAnsi="宋体" w:eastAsia="宋体" w:cs="宋体"/>
          <w:i w:val="0"/>
          <w:iCs w:val="0"/>
          <w:caps w:val="0"/>
          <w:color w:val="333333"/>
          <w:spacing w:val="0"/>
          <w:sz w:val="21"/>
          <w:szCs w:val="21"/>
          <w:lang w:val="en-US" w:eastAsia="zh-CN"/>
        </w:rPr>
        <w:t>飞利浦彩超故障情况</w:t>
      </w:r>
    </w:p>
    <w:p w14:paraId="7DB8D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333333"/>
          <w:spacing w:val="0"/>
          <w:sz w:val="21"/>
          <w:szCs w:val="21"/>
        </w:rPr>
      </w:pPr>
    </w:p>
    <w:p w14:paraId="6A554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1</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、设备详情：</w:t>
      </w:r>
    </w:p>
    <w:p w14:paraId="09BCA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品牌：飞利浦 </w:t>
      </w:r>
      <w:r>
        <w:rPr>
          <w:rFonts w:hint="eastAsia" w:ascii="宋体" w:hAnsi="宋体" w:eastAsia="宋体" w:cs="宋体"/>
          <w:i w:val="0"/>
          <w:iCs w:val="0"/>
          <w:caps w:val="0"/>
          <w:color w:val="333333"/>
          <w:spacing w:val="0"/>
          <w:sz w:val="21"/>
          <w:szCs w:val="21"/>
        </w:rPr>
        <w:t>型号：</w:t>
      </w:r>
      <w:r>
        <w:rPr>
          <w:rFonts w:hint="eastAsia" w:ascii="宋体" w:hAnsi="宋体" w:eastAsia="宋体" w:cs="宋体"/>
          <w:i w:val="0"/>
          <w:iCs w:val="0"/>
          <w:caps w:val="0"/>
          <w:color w:val="333333"/>
          <w:spacing w:val="0"/>
          <w:sz w:val="21"/>
          <w:szCs w:val="21"/>
          <w:lang w:val="en-US" w:eastAsia="zh-CN"/>
        </w:rPr>
        <w:t>CX-30 启用时间：2013年12月</w:t>
      </w:r>
    </w:p>
    <w:p w14:paraId="29D6C1A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（2</w:t>
      </w:r>
      <w:bookmarkStart w:id="0" w:name="_GoBack"/>
      <w:bookmarkEnd w:id="0"/>
      <w:r>
        <w:rPr>
          <w:rFonts w:hint="eastAsia" w:ascii="宋体" w:hAnsi="宋体" w:eastAsia="宋体" w:cs="宋体"/>
          <w:i w:val="0"/>
          <w:iCs w:val="0"/>
          <w:caps w:val="0"/>
          <w:color w:val="333333"/>
          <w:spacing w:val="0"/>
          <w:kern w:val="0"/>
          <w:sz w:val="21"/>
          <w:szCs w:val="21"/>
          <w:lang w:val="en-US" w:eastAsia="zh-CN" w:bidi="ar"/>
        </w:rPr>
        <w:t>）、</w:t>
      </w:r>
      <w:r>
        <w:rPr>
          <w:rFonts w:hint="eastAsia" w:ascii="宋体" w:hAnsi="宋体" w:eastAsia="宋体" w:cs="宋体"/>
          <w:i w:val="0"/>
          <w:iCs w:val="0"/>
          <w:caps w:val="0"/>
          <w:color w:val="333333"/>
          <w:spacing w:val="0"/>
          <w:sz w:val="21"/>
          <w:szCs w:val="21"/>
        </w:rPr>
        <w:t>故障现象：</w:t>
      </w:r>
    </w:p>
    <w:p w14:paraId="69856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开机后不能进行图像测量操作，显示报告程序包正在初始化，点击确认后提示报告程序包因为数据库损坏而无法正常的初始化（附图片）。</w:t>
      </w:r>
    </w:p>
    <w:p w14:paraId="0E808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具体</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故障原因</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以维修方判断为准，设备修复后正常使用</w:t>
      </w:r>
      <w:r>
        <w:rPr>
          <w:rFonts w:hint="eastAsia" w:ascii="宋体" w:hAnsi="宋体" w:eastAsia="宋体" w:cs="宋体"/>
          <w:i w:val="0"/>
          <w:iCs w:val="0"/>
          <w:caps w:val="0"/>
          <w:color w:val="333333"/>
          <w:spacing w:val="0"/>
          <w:sz w:val="21"/>
          <w:szCs w:val="21"/>
          <w:shd w:val="clear" w:fill="FFFFFF"/>
        </w:rPr>
        <w:t>，维修预算2500元，维修配件质保期不少于半年。</w:t>
      </w:r>
    </w:p>
    <w:p w14:paraId="54AA11C5">
      <w:pPr>
        <w:ind w:firstLine="420" w:firstLineChars="200"/>
        <w:rPr>
          <w:rFonts w:hint="eastAsia" w:ascii="宋体" w:hAnsi="宋体" w:eastAsia="宋体" w:cs="宋体"/>
          <w:sz w:val="21"/>
          <w:szCs w:val="21"/>
          <w:lang w:val="en-US" w:eastAsia="zh-CN"/>
        </w:rPr>
      </w:pPr>
    </w:p>
    <w:p w14:paraId="4B0A811E">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69865" cy="2352040"/>
            <wp:effectExtent l="0" t="0" r="6985" b="10160"/>
            <wp:docPr id="1" name="图片 1" descr="ab3fb17cb83f04c756acc49b64aba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b3fb17cb83f04c756acc49b64aba194"/>
                    <pic:cNvPicPr>
                      <a:picLocks noChangeAspect="1"/>
                    </pic:cNvPicPr>
                  </pic:nvPicPr>
                  <pic:blipFill>
                    <a:blip r:embed="rId4"/>
                    <a:stretch>
                      <a:fillRect/>
                    </a:stretch>
                  </pic:blipFill>
                  <pic:spPr>
                    <a:xfrm>
                      <a:off x="0" y="0"/>
                      <a:ext cx="5269865" cy="2352040"/>
                    </a:xfrm>
                    <a:prstGeom prst="rect">
                      <a:avLst/>
                    </a:prstGeom>
                  </pic:spPr>
                </pic:pic>
              </a:graphicData>
            </a:graphic>
          </wp:inline>
        </w:drawing>
      </w:r>
    </w:p>
    <w:p w14:paraId="0A9892A3">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69865" cy="2352040"/>
            <wp:effectExtent l="0" t="0" r="6985" b="10160"/>
            <wp:docPr id="2" name="图片 2" descr="ce8b78a0852527acba9525e35c14c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8b78a0852527acba9525e35c14c476"/>
                    <pic:cNvPicPr>
                      <a:picLocks noChangeAspect="1"/>
                    </pic:cNvPicPr>
                  </pic:nvPicPr>
                  <pic:blipFill>
                    <a:blip r:embed="rId5"/>
                    <a:stretch>
                      <a:fillRect/>
                    </a:stretch>
                  </pic:blipFill>
                  <pic:spPr>
                    <a:xfrm>
                      <a:off x="0" y="0"/>
                      <a:ext cx="5269865" cy="2352040"/>
                    </a:xfrm>
                    <a:prstGeom prst="rect">
                      <a:avLst/>
                    </a:prstGeom>
                  </pic:spPr>
                </pic:pic>
              </a:graphicData>
            </a:graphic>
          </wp:inline>
        </w:drawing>
      </w:r>
    </w:p>
    <w:p w14:paraId="6643BC63">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62880" cy="2331085"/>
            <wp:effectExtent l="0" t="0" r="13970" b="12065"/>
            <wp:docPr id="3" name="图片 3" descr="f7bddb0dd945f70589594ea9b849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bddb0dd945f70589594ea9b8492622"/>
                    <pic:cNvPicPr>
                      <a:picLocks noChangeAspect="1"/>
                    </pic:cNvPicPr>
                  </pic:nvPicPr>
                  <pic:blipFill>
                    <a:blip r:embed="rId6"/>
                    <a:stretch>
                      <a:fillRect/>
                    </a:stretch>
                  </pic:blipFill>
                  <pic:spPr>
                    <a:xfrm>
                      <a:off x="0" y="0"/>
                      <a:ext cx="5262880" cy="2331085"/>
                    </a:xfrm>
                    <a:prstGeom prst="rect">
                      <a:avLst/>
                    </a:prstGeom>
                  </pic:spPr>
                </pic:pic>
              </a:graphicData>
            </a:graphic>
          </wp:inline>
        </w:drawing>
      </w:r>
    </w:p>
    <w:p w14:paraId="176C9392">
      <w:pPr>
        <w:rPr>
          <w:rFonts w:hint="default"/>
          <w:lang w:val="en-US" w:eastAsia="zh-CN"/>
        </w:rPr>
      </w:pPr>
    </w:p>
    <w:p w14:paraId="62CD9AC1">
      <w:pPr>
        <w:rPr>
          <w:rFonts w:hint="default"/>
          <w:lang w:val="en-US" w:eastAsia="zh-CN"/>
        </w:rPr>
      </w:pPr>
      <w:r>
        <w:rPr>
          <w:rFonts w:hint="eastAsia"/>
          <w:lang w:val="en-US" w:eastAsia="zh-CN"/>
        </w:rPr>
        <w:t>2、报价单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lang w:val="en-US" w:eastAsia="zh-CN"/>
        </w:rPr>
        <w:t>维修服务</w:t>
      </w: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649"/>
        <w:gridCol w:w="831"/>
        <w:gridCol w:w="3232"/>
      </w:tblGrid>
      <w:tr w14:paraId="5426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15B136F">
            <w:pPr>
              <w:widowControl/>
              <w:spacing w:line="405" w:lineRule="atLeast"/>
              <w:jc w:val="center"/>
              <w:rPr>
                <w:sz w:val="28"/>
                <w:szCs w:val="28"/>
              </w:rPr>
            </w:pPr>
            <w:r>
              <w:rPr>
                <w:rFonts w:hint="eastAsia" w:ascii="宋体" w:hAnsi="宋体" w:cs="宋体"/>
                <w:color w:val="333333"/>
                <w:kern w:val="0"/>
                <w:szCs w:val="21"/>
              </w:rPr>
              <w:t>序号</w:t>
            </w:r>
          </w:p>
        </w:tc>
        <w:tc>
          <w:tcPr>
            <w:tcW w:w="3649" w:type="dxa"/>
            <w:noWrap w:val="0"/>
            <w:vAlign w:val="center"/>
          </w:tcPr>
          <w:p w14:paraId="12B9BD00">
            <w:pPr>
              <w:widowControl/>
              <w:spacing w:line="405" w:lineRule="atLeast"/>
              <w:jc w:val="center"/>
              <w:rPr>
                <w:sz w:val="28"/>
                <w:szCs w:val="28"/>
              </w:rPr>
            </w:pPr>
            <w:r>
              <w:rPr>
                <w:rFonts w:hint="eastAsia" w:ascii="宋体" w:hAnsi="宋体" w:cs="宋体"/>
                <w:color w:val="333333"/>
                <w:kern w:val="0"/>
                <w:szCs w:val="21"/>
                <w:lang w:val="en-US" w:eastAsia="zh-CN"/>
              </w:rPr>
              <w:t>项目</w:t>
            </w:r>
            <w:r>
              <w:rPr>
                <w:rFonts w:hint="eastAsia" w:ascii="宋体" w:hAnsi="宋体" w:cs="宋体"/>
                <w:color w:val="333333"/>
                <w:kern w:val="0"/>
                <w:szCs w:val="21"/>
              </w:rPr>
              <w:t>名称</w:t>
            </w:r>
          </w:p>
        </w:tc>
        <w:tc>
          <w:tcPr>
            <w:tcW w:w="831" w:type="dxa"/>
            <w:noWrap w:val="0"/>
            <w:vAlign w:val="center"/>
          </w:tcPr>
          <w:p w14:paraId="056F29B8">
            <w:pPr>
              <w:widowControl/>
              <w:spacing w:line="405" w:lineRule="atLeast"/>
              <w:jc w:val="center"/>
              <w:rPr>
                <w:sz w:val="28"/>
                <w:szCs w:val="28"/>
              </w:rPr>
            </w:pPr>
            <w:r>
              <w:rPr>
                <w:rFonts w:hint="eastAsia" w:ascii="宋体" w:hAnsi="宋体" w:cs="宋体"/>
                <w:color w:val="333333"/>
                <w:kern w:val="0"/>
                <w:szCs w:val="21"/>
              </w:rPr>
              <w:t>数量</w:t>
            </w:r>
          </w:p>
        </w:tc>
        <w:tc>
          <w:tcPr>
            <w:tcW w:w="3232" w:type="dxa"/>
            <w:noWrap w:val="0"/>
            <w:vAlign w:val="center"/>
          </w:tcPr>
          <w:p w14:paraId="4CEB1BC2">
            <w:pPr>
              <w:widowControl/>
              <w:spacing w:line="405" w:lineRule="atLeast"/>
              <w:jc w:val="center"/>
              <w:rPr>
                <w:rFonts w:hint="eastAsia" w:eastAsiaTheme="minorEastAsia"/>
                <w:sz w:val="28"/>
                <w:szCs w:val="28"/>
                <w:lang w:eastAsia="zh-CN"/>
              </w:rPr>
            </w:pPr>
            <w:r>
              <w:rPr>
                <w:rFonts w:hint="eastAsia" w:ascii="宋体" w:hAnsi="宋体" w:cs="宋体"/>
                <w:color w:val="333333"/>
                <w:kern w:val="0"/>
                <w:szCs w:val="21"/>
                <w:lang w:val="en-US" w:eastAsia="zh-CN"/>
              </w:rPr>
              <w:t>报价</w:t>
            </w:r>
          </w:p>
        </w:tc>
      </w:tr>
      <w:tr w14:paraId="2EA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48E59B7E">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3649" w:type="dxa"/>
            <w:noWrap w:val="0"/>
            <w:vAlign w:val="center"/>
          </w:tcPr>
          <w:p w14:paraId="1FDE3695">
            <w:pPr>
              <w:widowControl/>
              <w:spacing w:line="405" w:lineRule="atLeast"/>
              <w:jc w:val="center"/>
              <w:rPr>
                <w:rFonts w:hint="default" w:ascii="宋体" w:hAnsi="宋体" w:eastAsia="微软雅黑" w:cs="宋体"/>
                <w:color w:val="333333"/>
                <w:kern w:val="0"/>
                <w:szCs w:val="21"/>
                <w:lang w:val="en-US" w:eastAsia="zh-CN"/>
              </w:rPr>
            </w:pPr>
            <w:r>
              <w:rPr>
                <w:rFonts w:hint="eastAsia" w:ascii="宋体" w:hAnsi="宋体" w:cs="宋体"/>
                <w:color w:val="333333"/>
                <w:kern w:val="0"/>
                <w:szCs w:val="21"/>
                <w:lang w:val="en-US" w:eastAsia="zh-CN"/>
              </w:rPr>
              <w:t>飞利浦CX30彩超维修</w:t>
            </w:r>
          </w:p>
        </w:tc>
        <w:tc>
          <w:tcPr>
            <w:tcW w:w="831" w:type="dxa"/>
            <w:noWrap w:val="0"/>
            <w:vAlign w:val="center"/>
          </w:tcPr>
          <w:p w14:paraId="03E652F3">
            <w:pPr>
              <w:widowControl/>
              <w:spacing w:line="405" w:lineRule="atLeast"/>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1次</w:t>
            </w:r>
          </w:p>
        </w:tc>
        <w:tc>
          <w:tcPr>
            <w:tcW w:w="3232" w:type="dxa"/>
            <w:noWrap w:val="0"/>
            <w:vAlign w:val="center"/>
          </w:tcPr>
          <w:p w14:paraId="7B1DAC39">
            <w:pPr>
              <w:tabs>
                <w:tab w:val="left" w:pos="2115"/>
              </w:tabs>
              <w:bidi w:val="0"/>
              <w:jc w:val="left"/>
              <w:rPr>
                <w:rFonts w:hint="default" w:ascii="宋体" w:hAnsi="宋体" w:cs="宋体"/>
                <w:color w:val="333333"/>
                <w:kern w:val="0"/>
                <w:szCs w:val="21"/>
                <w:lang w:val="en-US" w:eastAsia="zh-CN"/>
              </w:rPr>
            </w:pPr>
          </w:p>
        </w:tc>
      </w:tr>
    </w:tbl>
    <w:p w14:paraId="35CD1262">
      <w:pPr>
        <w:jc w:val="left"/>
        <w:rPr>
          <w:sz w:val="28"/>
          <w:szCs w:val="28"/>
        </w:rPr>
      </w:pPr>
      <w:r>
        <w:rPr>
          <w:rFonts w:hint="eastAsia"/>
          <w:sz w:val="28"/>
          <w:szCs w:val="28"/>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0"/>
        </w:numPr>
        <w:rPr>
          <w:rFonts w:hint="eastAsia"/>
          <w:lang w:val="en-US" w:eastAsia="zh-CN"/>
        </w:rPr>
      </w:pPr>
      <w:r>
        <w:rPr>
          <w:rFonts w:hint="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w:t>
      </w:r>
      <w:r>
        <w:rPr>
          <w:rFonts w:hint="eastAsia"/>
          <w:lang w:val="en-US" w:eastAsia="zh-CN"/>
        </w:rPr>
        <w:t>供应商资质文件</w:t>
      </w:r>
    </w:p>
    <w:p w14:paraId="16B3D683">
      <w:pPr>
        <w:numPr>
          <w:ilvl w:val="0"/>
          <w:numId w:val="0"/>
        </w:numPr>
        <w:rPr>
          <w:rFonts w:hint="eastAsia"/>
          <w:lang w:val="en-US" w:eastAsia="zh-CN"/>
        </w:rPr>
      </w:pP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5"/>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若经贵方查出，立即取消我方投标资格并承担相应的法律责任</w:t>
      </w:r>
      <w:r>
        <w:rPr>
          <w:rStyle w:val="5"/>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5"/>
          <w:rFonts w:hint="eastAsia" w:asciiTheme="minorEastAsia" w:hAnsiTheme="minorEastAsia" w:cstheme="minorEastAsia"/>
          <w:color w:val="auto"/>
          <w:sz w:val="24"/>
          <w:szCs w:val="24"/>
          <w:highlight w:val="none"/>
          <w:lang w:val="en-US" w:eastAsia="zh-CN"/>
        </w:rPr>
        <w:t>七</w:t>
      </w:r>
      <w:r>
        <w:rPr>
          <w:rStyle w:val="5"/>
          <w:rFonts w:hint="eastAsia" w:asciiTheme="minorEastAsia" w:hAnsiTheme="minorEastAsia" w:eastAsiaTheme="minorEastAsia" w:cstheme="minorEastAsia"/>
          <w:color w:val="auto"/>
          <w:sz w:val="24"/>
          <w:szCs w:val="24"/>
          <w:highlight w:val="none"/>
          <w:lang w:eastAsia="zh-CN"/>
        </w:rPr>
        <w:t>、</w:t>
      </w:r>
      <w:r>
        <w:rPr>
          <w:rStyle w:val="5"/>
          <w:rFonts w:hint="eastAsia" w:asciiTheme="minorEastAsia" w:hAnsiTheme="minorEastAsia" w:cstheme="minorEastAsia"/>
          <w:color w:val="auto"/>
          <w:sz w:val="24"/>
          <w:szCs w:val="24"/>
          <w:highlight w:val="none"/>
          <w:lang w:val="en-US" w:eastAsia="zh-CN"/>
        </w:rPr>
        <w:t>我方</w:t>
      </w:r>
      <w:r>
        <w:rPr>
          <w:rStyle w:val="5"/>
          <w:rFonts w:hint="eastAsia" w:asciiTheme="minorEastAsia" w:hAnsiTheme="minorEastAsia" w:cstheme="minorEastAsia"/>
          <w:color w:val="auto"/>
          <w:sz w:val="24"/>
          <w:szCs w:val="24"/>
          <w:highlight w:val="none"/>
          <w:lang w:eastAsia="zh-CN"/>
        </w:rPr>
        <w:t>在投标活动前三年内</w:t>
      </w:r>
      <w:r>
        <w:rPr>
          <w:rStyle w:val="5"/>
          <w:rFonts w:hint="eastAsia" w:asciiTheme="minorEastAsia" w:hAnsiTheme="minorEastAsia" w:eastAsiaTheme="minorEastAsia" w:cstheme="minorEastAsia"/>
          <w:color w:val="auto"/>
          <w:sz w:val="24"/>
          <w:szCs w:val="24"/>
          <w:highlight w:val="none"/>
        </w:rPr>
        <w:t>无重大违法、违规的不良记录</w:t>
      </w:r>
      <w:r>
        <w:rPr>
          <w:rStyle w:val="5"/>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sz w:val="24"/>
          <w:szCs w:val="24"/>
          <w:highlight w:val="none"/>
          <w:lang w:val="en-US" w:eastAsia="zh-CN"/>
        </w:rPr>
        <w:t>八</w:t>
      </w:r>
      <w:r>
        <w:rPr>
          <w:rStyle w:val="5"/>
          <w:rFonts w:hint="eastAsia" w:asciiTheme="minorEastAsia" w:hAnsiTheme="minorEastAsia" w:eastAsia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我方</w:t>
      </w:r>
      <w:r>
        <w:rPr>
          <w:rStyle w:val="5"/>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5"/>
          <w:rFonts w:hint="eastAsia" w:asciiTheme="minorEastAsia" w:hAnsi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7B58F2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5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2025-10-10T08:13:18Z</dcterms:created>
  <dc:creator>Administrator</dc:creator>
  <cp:lastModifiedBy>没点穴的武侠不好看</cp:lastModifiedBy>
  <dcterms:modified xsi:type="dcterms:W3CDTF">2025-10-10T08:14:21Z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068F2A2B233C4AAD8B544CD857020B2E_12</vt:lpwstr>
  </property>
</Properties>
</file>